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39B72121"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ED4C4D">
        <w:rPr>
          <w:b/>
          <w:bCs/>
          <w:sz w:val="22"/>
          <w:szCs w:val="22"/>
        </w:rPr>
        <w:t>___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000000" w:rsidP="00594811">
      <w:pPr>
        <w:spacing w:after="0" w:line="259" w:lineRule="auto"/>
        <w:ind w:right="57" w:firstLine="0"/>
        <w:rPr>
          <w:sz w:val="22"/>
          <w:szCs w:val="22"/>
        </w:rPr>
      </w:pPr>
      <w:r w:rsidRPr="00841B34">
        <w:rPr>
          <w:sz w:val="22"/>
          <w:szCs w:val="22"/>
        </w:rPr>
        <w:t xml:space="preserve">Адрес: КАЗАХСТАН Актюбинская область ул. пр. </w:t>
      </w:r>
      <w:proofErr w:type="spellStart"/>
      <w:r w:rsidRPr="00841B34">
        <w:rPr>
          <w:sz w:val="22"/>
          <w:szCs w:val="22"/>
        </w:rPr>
        <w:t>Абилкайыр</w:t>
      </w:r>
      <w:proofErr w:type="spellEnd"/>
      <w:r w:rsidRPr="00841B34">
        <w:rPr>
          <w:sz w:val="22"/>
          <w:szCs w:val="22"/>
        </w:rPr>
        <w:t xml:space="preserve"> хана д. 10,</w:t>
      </w:r>
    </w:p>
    <w:p w14:paraId="26FE68B3" w14:textId="50390B7E" w:rsidR="00841B34" w:rsidRDefault="00000000"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6427D9">
        <w:rPr>
          <w:b/>
          <w:sz w:val="22"/>
          <w:szCs w:val="22"/>
        </w:rPr>
        <w:t>-134</w:t>
      </w:r>
      <w:proofErr w:type="gramEnd"/>
    </w:p>
    <w:p w14:paraId="2B0596CB" w14:textId="0FFDE61C" w:rsidR="00841B34" w:rsidRPr="006427D9" w:rsidRDefault="00000000" w:rsidP="00594811">
      <w:pPr>
        <w:spacing w:after="0" w:line="259" w:lineRule="auto"/>
        <w:ind w:right="57" w:firstLine="0"/>
        <w:rPr>
          <w:sz w:val="22"/>
          <w:szCs w:val="22"/>
        </w:rPr>
      </w:pPr>
      <w:r w:rsidRPr="00841B34">
        <w:rPr>
          <w:sz w:val="22"/>
          <w:szCs w:val="22"/>
        </w:rPr>
        <w:t>Электронная почта</w:t>
      </w:r>
      <w:r w:rsidR="006427D9">
        <w:rPr>
          <w:sz w:val="22"/>
          <w:szCs w:val="22"/>
        </w:rPr>
        <w:t xml:space="preserve">: </w:t>
      </w:r>
      <w:hyperlink r:id="rId7" w:history="1">
        <w:r w:rsidR="006427D9" w:rsidRPr="00F82A6B">
          <w:rPr>
            <w:rStyle w:val="af"/>
            <w:sz w:val="22"/>
            <w:szCs w:val="22"/>
            <w:lang w:val="en-US"/>
          </w:rPr>
          <w:t>a</w:t>
        </w:r>
        <w:r w:rsidR="006427D9" w:rsidRPr="00F82A6B">
          <w:rPr>
            <w:rStyle w:val="af"/>
            <w:sz w:val="22"/>
            <w:szCs w:val="22"/>
          </w:rPr>
          <w:t>.</w:t>
        </w:r>
        <w:r w:rsidR="006427D9" w:rsidRPr="00F82A6B">
          <w:rPr>
            <w:rStyle w:val="af"/>
            <w:sz w:val="22"/>
            <w:szCs w:val="22"/>
            <w:lang w:val="en-US"/>
          </w:rPr>
          <w:t>kopzhassar</w:t>
        </w:r>
        <w:r w:rsidR="006427D9" w:rsidRPr="00F82A6B">
          <w:rPr>
            <w:rStyle w:val="af"/>
            <w:sz w:val="22"/>
            <w:szCs w:val="22"/>
          </w:rPr>
          <w:t>@</w:t>
        </w:r>
        <w:r w:rsidR="006427D9" w:rsidRPr="00F82A6B">
          <w:rPr>
            <w:rStyle w:val="af"/>
            <w:sz w:val="22"/>
            <w:szCs w:val="22"/>
            <w:lang w:val="en-US"/>
          </w:rPr>
          <w:t>uo</w:t>
        </w:r>
        <w:r w:rsidR="006427D9" w:rsidRPr="00F82A6B">
          <w:rPr>
            <w:rStyle w:val="af"/>
            <w:sz w:val="22"/>
            <w:szCs w:val="22"/>
          </w:rPr>
          <w:t>.</w:t>
        </w:r>
        <w:r w:rsidR="006427D9" w:rsidRPr="00F82A6B">
          <w:rPr>
            <w:rStyle w:val="af"/>
            <w:sz w:val="22"/>
            <w:szCs w:val="22"/>
            <w:lang w:val="en-US"/>
          </w:rPr>
          <w:t>kmg</w:t>
        </w:r>
        <w:r w:rsidR="006427D9" w:rsidRPr="00F82A6B">
          <w:rPr>
            <w:rStyle w:val="af"/>
            <w:sz w:val="22"/>
            <w:szCs w:val="22"/>
          </w:rPr>
          <w:t>.</w:t>
        </w:r>
        <w:proofErr w:type="spellStart"/>
        <w:r w:rsidR="006427D9" w:rsidRPr="00F82A6B">
          <w:rPr>
            <w:rStyle w:val="af"/>
            <w:sz w:val="22"/>
            <w:szCs w:val="22"/>
            <w:lang w:val="en-US"/>
          </w:rPr>
          <w:t>kz</w:t>
        </w:r>
        <w:proofErr w:type="spellEnd"/>
      </w:hyperlink>
    </w:p>
    <w:p w14:paraId="7421446B" w14:textId="77777777" w:rsidR="00841B34" w:rsidRDefault="00000000" w:rsidP="00594811">
      <w:pPr>
        <w:spacing w:after="0" w:line="259" w:lineRule="auto"/>
        <w:ind w:right="57" w:firstLine="0"/>
        <w:rPr>
          <w:sz w:val="22"/>
          <w:szCs w:val="22"/>
        </w:rPr>
      </w:pPr>
      <w:r w:rsidRPr="00841B34">
        <w:rPr>
          <w:sz w:val="22"/>
          <w:szCs w:val="22"/>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0326643D"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3F7E2302" w14:textId="19D112C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Layout w:type="fixed"/>
        <w:tblCellMar>
          <w:left w:w="18" w:type="dxa"/>
          <w:right w:w="56" w:type="dxa"/>
        </w:tblCellMar>
        <w:tblLook w:val="04A0" w:firstRow="1" w:lastRow="0" w:firstColumn="1" w:lastColumn="0" w:noHBand="0" w:noVBand="1"/>
      </w:tblPr>
      <w:tblGrid>
        <w:gridCol w:w="1848"/>
        <w:gridCol w:w="989"/>
        <w:gridCol w:w="1850"/>
        <w:gridCol w:w="1550"/>
        <w:gridCol w:w="1559"/>
        <w:gridCol w:w="1136"/>
        <w:gridCol w:w="1982"/>
        <w:gridCol w:w="1628"/>
        <w:gridCol w:w="1334"/>
        <w:gridCol w:w="1778"/>
      </w:tblGrid>
      <w:tr w:rsidR="00815E02" w:rsidRPr="00841B34" w14:paraId="48954C0C" w14:textId="3A9AD78E" w:rsidTr="00815E02">
        <w:trPr>
          <w:trHeight w:val="632"/>
        </w:trPr>
        <w:tc>
          <w:tcPr>
            <w:tcW w:w="590" w:type="pct"/>
            <w:tcBorders>
              <w:top w:val="single" w:sz="2" w:space="0" w:color="000000"/>
              <w:left w:val="nil"/>
              <w:bottom w:val="single" w:sz="5" w:space="0" w:color="000000"/>
              <w:right w:val="single" w:sz="5" w:space="0" w:color="000000"/>
            </w:tcBorders>
            <w:vAlign w:val="center"/>
          </w:tcPr>
          <w:p w14:paraId="3BDFB73A" w14:textId="77777777" w:rsidR="00815E02" w:rsidRPr="00841B34" w:rsidRDefault="00815E02" w:rsidP="00815E02">
            <w:pPr>
              <w:spacing w:after="0" w:line="259" w:lineRule="auto"/>
              <w:ind w:right="57" w:firstLine="0"/>
              <w:jc w:val="center"/>
              <w:rPr>
                <w:b/>
                <w:sz w:val="22"/>
                <w:szCs w:val="22"/>
              </w:rPr>
            </w:pPr>
          </w:p>
          <w:p w14:paraId="4C0FD0A3" w14:textId="685C313D" w:rsidR="00815E02" w:rsidRPr="00841B34" w:rsidRDefault="00815E02" w:rsidP="00815E02">
            <w:pPr>
              <w:spacing w:after="0"/>
              <w:ind w:right="57" w:firstLine="0"/>
              <w:jc w:val="center"/>
              <w:rPr>
                <w:b/>
                <w:bCs/>
                <w:sz w:val="22"/>
                <w:szCs w:val="22"/>
              </w:rPr>
            </w:pPr>
            <w:r w:rsidRPr="00841B34">
              <w:rPr>
                <w:b/>
                <w:bCs/>
                <w:sz w:val="22"/>
                <w:szCs w:val="22"/>
              </w:rPr>
              <w:t>Номер контракта на недропользование</w:t>
            </w:r>
          </w:p>
        </w:tc>
        <w:tc>
          <w:tcPr>
            <w:tcW w:w="316" w:type="pct"/>
            <w:tcBorders>
              <w:top w:val="single" w:sz="2" w:space="0" w:color="000000"/>
              <w:left w:val="nil"/>
              <w:bottom w:val="single" w:sz="5" w:space="0" w:color="000000"/>
              <w:right w:val="single" w:sz="5" w:space="0" w:color="000000"/>
            </w:tcBorders>
            <w:vAlign w:val="center"/>
          </w:tcPr>
          <w:p w14:paraId="5CFEADDB" w14:textId="7E98971A" w:rsidR="00815E02" w:rsidRPr="00841B34" w:rsidRDefault="00815E02" w:rsidP="00815E02">
            <w:pPr>
              <w:spacing w:after="0" w:line="259" w:lineRule="auto"/>
              <w:ind w:right="57" w:firstLine="0"/>
              <w:jc w:val="center"/>
              <w:rPr>
                <w:b/>
                <w:bCs/>
                <w:sz w:val="22"/>
                <w:szCs w:val="22"/>
              </w:rPr>
            </w:pPr>
            <w:r w:rsidRPr="00841B34">
              <w:rPr>
                <w:b/>
                <w:bCs/>
                <w:sz w:val="22"/>
                <w:szCs w:val="22"/>
              </w:rPr>
              <w:t>Код предмета закупки</w:t>
            </w:r>
          </w:p>
        </w:tc>
        <w:tc>
          <w:tcPr>
            <w:tcW w:w="591" w:type="pct"/>
            <w:tcBorders>
              <w:top w:val="single" w:sz="2" w:space="0" w:color="000000"/>
              <w:left w:val="single" w:sz="5" w:space="0" w:color="000000"/>
              <w:bottom w:val="single" w:sz="5" w:space="0" w:color="000000"/>
              <w:right w:val="single" w:sz="5" w:space="0" w:color="000000"/>
            </w:tcBorders>
            <w:vAlign w:val="center"/>
          </w:tcPr>
          <w:p w14:paraId="31608A51" w14:textId="324EF752" w:rsidR="00815E02" w:rsidRPr="00841B34" w:rsidRDefault="00815E02" w:rsidP="00815E02">
            <w:pPr>
              <w:spacing w:after="0" w:line="259" w:lineRule="auto"/>
              <w:ind w:right="57" w:firstLine="0"/>
              <w:jc w:val="center"/>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495" w:type="pct"/>
            <w:tcBorders>
              <w:top w:val="single" w:sz="2" w:space="0" w:color="000000"/>
              <w:left w:val="single" w:sz="5" w:space="0" w:color="000000"/>
              <w:bottom w:val="single" w:sz="5" w:space="0" w:color="000000"/>
              <w:right w:val="single" w:sz="5" w:space="0" w:color="000000"/>
            </w:tcBorders>
            <w:vAlign w:val="center"/>
          </w:tcPr>
          <w:p w14:paraId="53994492" w14:textId="2BCB582C" w:rsidR="00815E02" w:rsidRPr="00841B34" w:rsidRDefault="00815E02" w:rsidP="00815E02">
            <w:pPr>
              <w:spacing w:after="0" w:line="259" w:lineRule="auto"/>
              <w:ind w:right="57" w:firstLine="0"/>
              <w:jc w:val="center"/>
              <w:rPr>
                <w:b/>
                <w:sz w:val="22"/>
                <w:szCs w:val="22"/>
              </w:rPr>
            </w:pPr>
            <w:r w:rsidRPr="00841B34">
              <w:rPr>
                <w:b/>
                <w:sz w:val="22"/>
                <w:szCs w:val="22"/>
              </w:rPr>
              <w:t>Наименование закупаемых товаров, работ и услуг</w:t>
            </w:r>
          </w:p>
        </w:tc>
        <w:tc>
          <w:tcPr>
            <w:tcW w:w="498" w:type="pct"/>
            <w:tcBorders>
              <w:top w:val="single" w:sz="2" w:space="0" w:color="000000"/>
              <w:left w:val="single" w:sz="5" w:space="0" w:color="000000"/>
              <w:bottom w:val="single" w:sz="5" w:space="0" w:color="000000"/>
              <w:right w:val="single" w:sz="5" w:space="0" w:color="000000"/>
            </w:tcBorders>
            <w:vAlign w:val="center"/>
          </w:tcPr>
          <w:p w14:paraId="5FA72482" w14:textId="50CFEBE3" w:rsidR="00815E02" w:rsidRPr="00841B34" w:rsidRDefault="00815E02" w:rsidP="00815E02">
            <w:pPr>
              <w:spacing w:after="0" w:line="259" w:lineRule="auto"/>
              <w:ind w:right="57" w:firstLine="0"/>
              <w:jc w:val="center"/>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363" w:type="pct"/>
            <w:tcBorders>
              <w:top w:val="single" w:sz="2" w:space="0" w:color="000000"/>
              <w:left w:val="single" w:sz="5" w:space="0" w:color="000000"/>
              <w:bottom w:val="single" w:sz="5" w:space="0" w:color="000000"/>
              <w:right w:val="single" w:sz="5" w:space="0" w:color="000000"/>
            </w:tcBorders>
            <w:vAlign w:val="center"/>
          </w:tcPr>
          <w:p w14:paraId="2A307C53" w14:textId="57DCD184" w:rsidR="00815E02" w:rsidRPr="00841B34" w:rsidRDefault="00815E02" w:rsidP="00815E02">
            <w:pPr>
              <w:spacing w:after="0" w:line="259" w:lineRule="auto"/>
              <w:ind w:right="57" w:firstLine="0"/>
              <w:jc w:val="center"/>
              <w:rPr>
                <w:sz w:val="22"/>
                <w:szCs w:val="22"/>
              </w:rPr>
            </w:pPr>
            <w:r w:rsidRPr="00841B34">
              <w:rPr>
                <w:b/>
                <w:sz w:val="22"/>
                <w:szCs w:val="22"/>
              </w:rPr>
              <w:t>Планируемый объем закупа в натуральном выражении</w:t>
            </w:r>
          </w:p>
        </w:tc>
        <w:tc>
          <w:tcPr>
            <w:tcW w:w="633" w:type="pct"/>
            <w:tcBorders>
              <w:top w:val="single" w:sz="2" w:space="0" w:color="000000"/>
              <w:left w:val="single" w:sz="5" w:space="0" w:color="000000"/>
              <w:bottom w:val="single" w:sz="5" w:space="0" w:color="000000"/>
              <w:right w:val="single" w:sz="5" w:space="0" w:color="000000"/>
            </w:tcBorders>
            <w:vAlign w:val="center"/>
          </w:tcPr>
          <w:p w14:paraId="2FD4150B" w14:textId="788440BA" w:rsidR="00815E02" w:rsidRPr="00841B34" w:rsidRDefault="00815E02" w:rsidP="00815E02">
            <w:pPr>
              <w:spacing w:after="0" w:line="259" w:lineRule="auto"/>
              <w:ind w:right="57" w:firstLine="0"/>
              <w:jc w:val="center"/>
              <w:rPr>
                <w:sz w:val="22"/>
                <w:szCs w:val="22"/>
              </w:rPr>
            </w:pPr>
            <w:r w:rsidRPr="00841B34">
              <w:rPr>
                <w:b/>
                <w:sz w:val="22"/>
                <w:szCs w:val="22"/>
              </w:rPr>
              <w:t>Планируемая сумма закупа без учета налога на добавленную стоимость, тенге</w:t>
            </w:r>
          </w:p>
        </w:tc>
        <w:tc>
          <w:tcPr>
            <w:tcW w:w="520" w:type="pct"/>
            <w:tcBorders>
              <w:top w:val="single" w:sz="2" w:space="0" w:color="000000"/>
              <w:left w:val="single" w:sz="5" w:space="0" w:color="000000"/>
              <w:bottom w:val="single" w:sz="5" w:space="0" w:color="000000"/>
              <w:right w:val="single" w:sz="5" w:space="0" w:color="000000"/>
            </w:tcBorders>
          </w:tcPr>
          <w:p w14:paraId="0093E364" w14:textId="1F4DB9ED" w:rsidR="00815E02" w:rsidRPr="00841B34" w:rsidRDefault="00815E02" w:rsidP="00815E02">
            <w:pPr>
              <w:spacing w:after="0" w:line="259" w:lineRule="auto"/>
              <w:ind w:right="57" w:firstLine="0"/>
              <w:jc w:val="center"/>
              <w:rPr>
                <w:b/>
                <w:sz w:val="22"/>
                <w:szCs w:val="22"/>
              </w:rPr>
            </w:pPr>
            <w:r w:rsidRPr="00841B34">
              <w:rPr>
                <w:b/>
                <w:sz w:val="22"/>
                <w:szCs w:val="22"/>
              </w:rPr>
              <w:t>Планируемая сумма закупа без учета налога на добавленную стоимость</w:t>
            </w:r>
            <w:r>
              <w:rPr>
                <w:b/>
                <w:sz w:val="22"/>
                <w:szCs w:val="22"/>
              </w:rPr>
              <w:t xml:space="preserve"> на </w:t>
            </w:r>
            <w:proofErr w:type="gramStart"/>
            <w:r>
              <w:rPr>
                <w:b/>
                <w:sz w:val="22"/>
                <w:szCs w:val="22"/>
              </w:rPr>
              <w:t>2025-2027</w:t>
            </w:r>
            <w:proofErr w:type="gramEnd"/>
            <w:r>
              <w:rPr>
                <w:b/>
                <w:sz w:val="22"/>
                <w:szCs w:val="22"/>
              </w:rPr>
              <w:t xml:space="preserve"> гг.</w:t>
            </w:r>
            <w:r w:rsidRPr="00841B34">
              <w:rPr>
                <w:b/>
                <w:sz w:val="22"/>
                <w:szCs w:val="22"/>
              </w:rPr>
              <w:t>, тенге</w:t>
            </w:r>
          </w:p>
        </w:tc>
        <w:tc>
          <w:tcPr>
            <w:tcW w:w="426" w:type="pct"/>
            <w:tcBorders>
              <w:top w:val="single" w:sz="2" w:space="0" w:color="000000"/>
              <w:left w:val="single" w:sz="5" w:space="0" w:color="000000"/>
              <w:bottom w:val="single" w:sz="5" w:space="0" w:color="000000"/>
              <w:right w:val="single" w:sz="5" w:space="0" w:color="000000"/>
            </w:tcBorders>
            <w:vAlign w:val="center"/>
          </w:tcPr>
          <w:p w14:paraId="7F42C84B" w14:textId="5C92A369" w:rsidR="00815E02" w:rsidRPr="00841B34" w:rsidRDefault="00815E02" w:rsidP="00815E02">
            <w:pPr>
              <w:spacing w:after="0" w:line="259" w:lineRule="auto"/>
              <w:ind w:right="57" w:firstLine="0"/>
              <w:jc w:val="center"/>
              <w:rPr>
                <w:b/>
                <w:sz w:val="22"/>
                <w:szCs w:val="22"/>
              </w:rPr>
            </w:pPr>
            <w:r w:rsidRPr="00841B34">
              <w:rPr>
                <w:b/>
                <w:sz w:val="22"/>
                <w:szCs w:val="22"/>
              </w:rPr>
              <w:t>Обеспечение тендерной заявки</w:t>
            </w:r>
          </w:p>
        </w:tc>
        <w:tc>
          <w:tcPr>
            <w:tcW w:w="568" w:type="pct"/>
            <w:tcBorders>
              <w:top w:val="single" w:sz="2" w:space="0" w:color="000000"/>
              <w:left w:val="single" w:sz="5" w:space="0" w:color="000000"/>
              <w:bottom w:val="single" w:sz="5" w:space="0" w:color="000000"/>
              <w:right w:val="single" w:sz="5" w:space="0" w:color="000000"/>
            </w:tcBorders>
            <w:vAlign w:val="center"/>
          </w:tcPr>
          <w:p w14:paraId="614C3455" w14:textId="3FD2BFD2" w:rsidR="00815E02" w:rsidRPr="00841B34" w:rsidRDefault="00815E02" w:rsidP="00815E02">
            <w:pPr>
              <w:spacing w:after="0" w:line="259" w:lineRule="auto"/>
              <w:ind w:right="57" w:firstLine="0"/>
              <w:jc w:val="center"/>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815E02" w:rsidRPr="00841B34" w14:paraId="66D9C527" w14:textId="4380813D" w:rsidTr="00815E02">
        <w:trPr>
          <w:trHeight w:val="820"/>
        </w:trPr>
        <w:tc>
          <w:tcPr>
            <w:tcW w:w="590" w:type="pct"/>
            <w:vMerge w:val="restart"/>
            <w:tcBorders>
              <w:top w:val="single" w:sz="5" w:space="0" w:color="000000"/>
              <w:left w:val="nil"/>
              <w:right w:val="single" w:sz="2" w:space="0" w:color="000000"/>
            </w:tcBorders>
            <w:vAlign w:val="center"/>
          </w:tcPr>
          <w:p w14:paraId="175A0C06" w14:textId="5567B9F4" w:rsidR="00815E02" w:rsidRPr="00841B34" w:rsidRDefault="00815E02" w:rsidP="00815E02">
            <w:pPr>
              <w:spacing w:after="0" w:line="259" w:lineRule="auto"/>
              <w:ind w:right="57" w:firstLine="0"/>
              <w:jc w:val="center"/>
              <w:rPr>
                <w:sz w:val="22"/>
                <w:szCs w:val="22"/>
              </w:rPr>
            </w:pPr>
            <w:r w:rsidRPr="00841B34">
              <w:rPr>
                <w:sz w:val="22"/>
                <w:szCs w:val="22"/>
              </w:rPr>
              <w:t>5224</w:t>
            </w:r>
          </w:p>
        </w:tc>
        <w:tc>
          <w:tcPr>
            <w:tcW w:w="316" w:type="pct"/>
            <w:vMerge w:val="restart"/>
            <w:tcBorders>
              <w:top w:val="single" w:sz="5" w:space="0" w:color="000000"/>
              <w:left w:val="nil"/>
              <w:right w:val="single" w:sz="2" w:space="0" w:color="000000"/>
            </w:tcBorders>
            <w:vAlign w:val="center"/>
          </w:tcPr>
          <w:p w14:paraId="087EB7C3" w14:textId="2AB14F89" w:rsidR="00815E02" w:rsidRPr="00841B34" w:rsidRDefault="00815E02" w:rsidP="00815E02">
            <w:pPr>
              <w:spacing w:after="0" w:line="259" w:lineRule="auto"/>
              <w:ind w:right="57" w:firstLine="0"/>
              <w:jc w:val="center"/>
              <w:rPr>
                <w:sz w:val="22"/>
                <w:szCs w:val="22"/>
              </w:rPr>
            </w:pPr>
            <w:proofErr w:type="gramStart"/>
            <w:r>
              <w:rPr>
                <w:sz w:val="22"/>
                <w:szCs w:val="22"/>
              </w:rPr>
              <w:t>12-1</w:t>
            </w:r>
            <w:proofErr w:type="gramEnd"/>
            <w:r>
              <w:rPr>
                <w:sz w:val="22"/>
                <w:szCs w:val="22"/>
              </w:rPr>
              <w:t xml:space="preserve"> У</w:t>
            </w:r>
          </w:p>
        </w:tc>
        <w:tc>
          <w:tcPr>
            <w:tcW w:w="591" w:type="pct"/>
            <w:vMerge w:val="restart"/>
            <w:tcBorders>
              <w:top w:val="single" w:sz="5" w:space="0" w:color="000000"/>
              <w:left w:val="single" w:sz="2" w:space="0" w:color="000000"/>
              <w:right w:val="single" w:sz="5" w:space="0" w:color="000000"/>
            </w:tcBorders>
            <w:vAlign w:val="center"/>
          </w:tcPr>
          <w:p w14:paraId="005C5B42" w14:textId="6D546A96" w:rsidR="00815E02" w:rsidRPr="00841B34" w:rsidRDefault="00815E02" w:rsidP="00815E02">
            <w:pPr>
              <w:spacing w:after="0" w:line="259" w:lineRule="auto"/>
              <w:ind w:right="57" w:firstLine="0"/>
              <w:jc w:val="center"/>
              <w:rPr>
                <w:sz w:val="22"/>
                <w:szCs w:val="22"/>
              </w:rPr>
            </w:pPr>
            <w:r w:rsidRPr="00291306">
              <w:rPr>
                <w:sz w:val="22"/>
                <w:szCs w:val="22"/>
              </w:rPr>
              <w:t>620920.000.000013</w:t>
            </w:r>
          </w:p>
        </w:tc>
        <w:tc>
          <w:tcPr>
            <w:tcW w:w="495" w:type="pct"/>
            <w:vMerge w:val="restart"/>
            <w:tcBorders>
              <w:top w:val="single" w:sz="5" w:space="0" w:color="000000"/>
              <w:left w:val="single" w:sz="5" w:space="0" w:color="000000"/>
              <w:right w:val="single" w:sz="5" w:space="0" w:color="000000"/>
            </w:tcBorders>
            <w:vAlign w:val="center"/>
          </w:tcPr>
          <w:p w14:paraId="27486483" w14:textId="2FC38608" w:rsidR="00815E02" w:rsidRPr="00841B34" w:rsidRDefault="00815E02" w:rsidP="00815E02">
            <w:pPr>
              <w:spacing w:after="0" w:line="259" w:lineRule="auto"/>
              <w:ind w:right="57" w:firstLine="0"/>
              <w:jc w:val="center"/>
              <w:rPr>
                <w:sz w:val="22"/>
                <w:szCs w:val="22"/>
              </w:rPr>
            </w:pPr>
            <w:r w:rsidRPr="00291306">
              <w:rPr>
                <w:sz w:val="22"/>
                <w:szCs w:val="22"/>
              </w:rPr>
              <w:t>Услуги по предоставлению доступа к информационным ресурсам</w:t>
            </w:r>
          </w:p>
        </w:tc>
        <w:tc>
          <w:tcPr>
            <w:tcW w:w="498" w:type="pct"/>
            <w:vMerge w:val="restart"/>
            <w:tcBorders>
              <w:top w:val="single" w:sz="5" w:space="0" w:color="000000"/>
              <w:left w:val="single" w:sz="5" w:space="0" w:color="000000"/>
              <w:right w:val="single" w:sz="5" w:space="0" w:color="000000"/>
            </w:tcBorders>
            <w:vAlign w:val="center"/>
          </w:tcPr>
          <w:p w14:paraId="722594EB" w14:textId="2AA040BE" w:rsidR="00815E02" w:rsidRPr="00841B34" w:rsidRDefault="00815E02" w:rsidP="00815E02">
            <w:pPr>
              <w:spacing w:after="0" w:line="259" w:lineRule="auto"/>
              <w:ind w:right="57" w:firstLine="0"/>
              <w:jc w:val="center"/>
              <w:rPr>
                <w:sz w:val="22"/>
                <w:szCs w:val="22"/>
              </w:rPr>
            </w:pPr>
            <w:r w:rsidRPr="00291306">
              <w:rPr>
                <w:sz w:val="22"/>
                <w:szCs w:val="22"/>
              </w:rPr>
              <w:t>Услуга сервиса проверки благонадежности контрагентов</w:t>
            </w:r>
          </w:p>
        </w:tc>
        <w:tc>
          <w:tcPr>
            <w:tcW w:w="363" w:type="pct"/>
            <w:tcBorders>
              <w:top w:val="single" w:sz="5" w:space="0" w:color="000000"/>
              <w:left w:val="single" w:sz="5" w:space="0" w:color="000000"/>
              <w:bottom w:val="single" w:sz="5" w:space="0" w:color="000000"/>
              <w:right w:val="single" w:sz="5" w:space="0" w:color="000000"/>
            </w:tcBorders>
            <w:vAlign w:val="center"/>
          </w:tcPr>
          <w:p w14:paraId="26CEE014" w14:textId="0CE2BB45" w:rsidR="00815E02" w:rsidRPr="00841B34" w:rsidRDefault="00815E02" w:rsidP="00815E02">
            <w:pPr>
              <w:spacing w:after="0" w:line="259" w:lineRule="auto"/>
              <w:ind w:right="57" w:firstLine="0"/>
              <w:jc w:val="center"/>
              <w:rPr>
                <w:sz w:val="22"/>
                <w:szCs w:val="22"/>
              </w:rPr>
            </w:pPr>
            <w:r>
              <w:rPr>
                <w:sz w:val="22"/>
                <w:szCs w:val="22"/>
              </w:rPr>
              <w:t>2025 – 1</w:t>
            </w:r>
          </w:p>
        </w:tc>
        <w:tc>
          <w:tcPr>
            <w:tcW w:w="633" w:type="pct"/>
            <w:tcBorders>
              <w:top w:val="single" w:sz="5" w:space="0" w:color="000000"/>
              <w:left w:val="single" w:sz="5" w:space="0" w:color="000000"/>
              <w:right w:val="single" w:sz="5" w:space="0" w:color="000000"/>
            </w:tcBorders>
            <w:vAlign w:val="center"/>
          </w:tcPr>
          <w:p w14:paraId="1AF6B397" w14:textId="5701BAD1" w:rsidR="00815E02" w:rsidRPr="00841B34" w:rsidRDefault="00815E02" w:rsidP="00815E02">
            <w:pPr>
              <w:spacing w:after="0" w:line="259" w:lineRule="auto"/>
              <w:ind w:right="57" w:firstLine="0"/>
              <w:jc w:val="center"/>
              <w:rPr>
                <w:sz w:val="22"/>
                <w:szCs w:val="22"/>
              </w:rPr>
            </w:pPr>
            <w:r>
              <w:rPr>
                <w:sz w:val="22"/>
                <w:szCs w:val="22"/>
              </w:rPr>
              <w:t xml:space="preserve">2025 – </w:t>
            </w:r>
            <w:r w:rsidRPr="00291306">
              <w:rPr>
                <w:sz w:val="22"/>
                <w:szCs w:val="22"/>
              </w:rPr>
              <w:t>2</w:t>
            </w:r>
            <w:r>
              <w:rPr>
                <w:sz w:val="22"/>
                <w:szCs w:val="22"/>
              </w:rPr>
              <w:t xml:space="preserve"> </w:t>
            </w:r>
            <w:r w:rsidRPr="00291306">
              <w:rPr>
                <w:sz w:val="22"/>
                <w:szCs w:val="22"/>
              </w:rPr>
              <w:t>650</w:t>
            </w:r>
            <w:r>
              <w:rPr>
                <w:sz w:val="22"/>
                <w:szCs w:val="22"/>
              </w:rPr>
              <w:t xml:space="preserve"> </w:t>
            </w:r>
            <w:r w:rsidRPr="00291306">
              <w:rPr>
                <w:sz w:val="22"/>
                <w:szCs w:val="22"/>
              </w:rPr>
              <w:t>000</w:t>
            </w:r>
            <w:r>
              <w:rPr>
                <w:sz w:val="22"/>
                <w:szCs w:val="22"/>
              </w:rPr>
              <w:t>,0</w:t>
            </w:r>
          </w:p>
        </w:tc>
        <w:tc>
          <w:tcPr>
            <w:tcW w:w="520" w:type="pct"/>
            <w:vMerge w:val="restart"/>
            <w:tcBorders>
              <w:top w:val="single" w:sz="5" w:space="0" w:color="000000"/>
              <w:left w:val="single" w:sz="5" w:space="0" w:color="000000"/>
              <w:right w:val="single" w:sz="5" w:space="0" w:color="000000"/>
            </w:tcBorders>
            <w:vAlign w:val="center"/>
          </w:tcPr>
          <w:p w14:paraId="1078380C" w14:textId="0654D252" w:rsidR="00815E02" w:rsidRPr="00815E02" w:rsidRDefault="00815E02" w:rsidP="00815E02">
            <w:pPr>
              <w:spacing w:after="0" w:line="240" w:lineRule="auto"/>
              <w:ind w:firstLine="0"/>
              <w:jc w:val="center"/>
              <w:rPr>
                <w:color w:val="auto"/>
                <w:sz w:val="20"/>
                <w:szCs w:val="20"/>
              </w:rPr>
            </w:pPr>
            <w:r>
              <w:rPr>
                <w:sz w:val="20"/>
                <w:szCs w:val="20"/>
              </w:rPr>
              <w:t>8 354 100,00</w:t>
            </w:r>
          </w:p>
        </w:tc>
        <w:tc>
          <w:tcPr>
            <w:tcW w:w="426" w:type="pct"/>
            <w:vMerge w:val="restart"/>
            <w:tcBorders>
              <w:top w:val="single" w:sz="5" w:space="0" w:color="000000"/>
              <w:left w:val="single" w:sz="5" w:space="0" w:color="000000"/>
              <w:right w:val="single" w:sz="5" w:space="0" w:color="000000"/>
            </w:tcBorders>
            <w:vAlign w:val="center"/>
          </w:tcPr>
          <w:p w14:paraId="7AEF1718" w14:textId="44872A8D" w:rsidR="00815E02" w:rsidRPr="00841B34" w:rsidRDefault="00815E02" w:rsidP="00815E02">
            <w:pPr>
              <w:spacing w:after="0" w:line="259" w:lineRule="auto"/>
              <w:ind w:right="57" w:firstLine="0"/>
              <w:jc w:val="center"/>
              <w:rPr>
                <w:sz w:val="22"/>
                <w:szCs w:val="22"/>
              </w:rPr>
            </w:pPr>
            <w:r w:rsidRPr="00841B34">
              <w:rPr>
                <w:sz w:val="22"/>
                <w:szCs w:val="22"/>
              </w:rPr>
              <w:t>1% от планируемой суммы закупка без учета налога на добавленную стоимость, тенге</w:t>
            </w:r>
          </w:p>
        </w:tc>
        <w:tc>
          <w:tcPr>
            <w:tcW w:w="568" w:type="pct"/>
            <w:vMerge w:val="restart"/>
            <w:tcBorders>
              <w:top w:val="single" w:sz="5" w:space="0" w:color="000000"/>
              <w:left w:val="single" w:sz="5" w:space="0" w:color="000000"/>
              <w:right w:val="single" w:sz="5" w:space="0" w:color="000000"/>
            </w:tcBorders>
            <w:vAlign w:val="center"/>
          </w:tcPr>
          <w:p w14:paraId="33EACB44" w14:textId="4D35B136" w:rsidR="00815E02" w:rsidRPr="00841B34" w:rsidRDefault="00815E02" w:rsidP="00815E02">
            <w:pPr>
              <w:spacing w:after="0" w:line="259" w:lineRule="auto"/>
              <w:ind w:right="57" w:firstLine="0"/>
              <w:jc w:val="center"/>
              <w:rPr>
                <w:sz w:val="22"/>
                <w:szCs w:val="22"/>
              </w:rPr>
            </w:pPr>
            <w:r>
              <w:rPr>
                <w:sz w:val="22"/>
                <w:szCs w:val="22"/>
              </w:rPr>
              <w:t>Не менее 95%</w:t>
            </w:r>
          </w:p>
        </w:tc>
      </w:tr>
      <w:tr w:rsidR="00815E02" w:rsidRPr="00841B34" w14:paraId="7FFCBB67" w14:textId="77777777" w:rsidTr="00815E02">
        <w:trPr>
          <w:trHeight w:val="820"/>
        </w:trPr>
        <w:tc>
          <w:tcPr>
            <w:tcW w:w="590" w:type="pct"/>
            <w:vMerge/>
            <w:tcBorders>
              <w:left w:val="nil"/>
              <w:right w:val="single" w:sz="2" w:space="0" w:color="000000"/>
            </w:tcBorders>
            <w:vAlign w:val="center"/>
          </w:tcPr>
          <w:p w14:paraId="4E7FAA4A" w14:textId="77777777" w:rsidR="00815E02" w:rsidRPr="00841B34" w:rsidRDefault="00815E02" w:rsidP="00594811">
            <w:pPr>
              <w:spacing w:after="0" w:line="259" w:lineRule="auto"/>
              <w:ind w:right="57" w:firstLine="0"/>
              <w:rPr>
                <w:sz w:val="22"/>
                <w:szCs w:val="22"/>
              </w:rPr>
            </w:pPr>
          </w:p>
        </w:tc>
        <w:tc>
          <w:tcPr>
            <w:tcW w:w="316" w:type="pct"/>
            <w:vMerge/>
            <w:tcBorders>
              <w:left w:val="nil"/>
              <w:right w:val="single" w:sz="2" w:space="0" w:color="000000"/>
            </w:tcBorders>
            <w:vAlign w:val="center"/>
          </w:tcPr>
          <w:p w14:paraId="12B4B93E" w14:textId="77777777" w:rsidR="00815E02" w:rsidRDefault="00815E02" w:rsidP="00594811">
            <w:pPr>
              <w:spacing w:after="0" w:line="259" w:lineRule="auto"/>
              <w:ind w:right="57" w:firstLine="0"/>
              <w:rPr>
                <w:sz w:val="22"/>
                <w:szCs w:val="22"/>
              </w:rPr>
            </w:pPr>
          </w:p>
        </w:tc>
        <w:tc>
          <w:tcPr>
            <w:tcW w:w="591" w:type="pct"/>
            <w:vMerge/>
            <w:tcBorders>
              <w:left w:val="single" w:sz="2" w:space="0" w:color="000000"/>
              <w:right w:val="single" w:sz="5" w:space="0" w:color="000000"/>
            </w:tcBorders>
            <w:vAlign w:val="center"/>
          </w:tcPr>
          <w:p w14:paraId="3A3349A1" w14:textId="77777777" w:rsidR="00815E02" w:rsidRPr="00291306" w:rsidRDefault="00815E02" w:rsidP="00594811">
            <w:pPr>
              <w:spacing w:after="0" w:line="259" w:lineRule="auto"/>
              <w:ind w:right="57" w:firstLine="0"/>
              <w:rPr>
                <w:sz w:val="22"/>
                <w:szCs w:val="22"/>
              </w:rPr>
            </w:pPr>
          </w:p>
        </w:tc>
        <w:tc>
          <w:tcPr>
            <w:tcW w:w="495" w:type="pct"/>
            <w:vMerge/>
            <w:tcBorders>
              <w:left w:val="single" w:sz="5" w:space="0" w:color="000000"/>
              <w:right w:val="single" w:sz="5" w:space="0" w:color="000000"/>
            </w:tcBorders>
          </w:tcPr>
          <w:p w14:paraId="5C9C719D" w14:textId="77777777" w:rsidR="00815E02" w:rsidRPr="00291306" w:rsidRDefault="00815E02" w:rsidP="00594811">
            <w:pPr>
              <w:spacing w:after="0" w:line="259" w:lineRule="auto"/>
              <w:ind w:right="57" w:firstLine="0"/>
              <w:rPr>
                <w:sz w:val="22"/>
                <w:szCs w:val="22"/>
              </w:rPr>
            </w:pPr>
          </w:p>
        </w:tc>
        <w:tc>
          <w:tcPr>
            <w:tcW w:w="498" w:type="pct"/>
            <w:vMerge/>
            <w:tcBorders>
              <w:left w:val="single" w:sz="5" w:space="0" w:color="000000"/>
              <w:right w:val="single" w:sz="5" w:space="0" w:color="000000"/>
            </w:tcBorders>
            <w:vAlign w:val="center"/>
          </w:tcPr>
          <w:p w14:paraId="78BF82DA" w14:textId="77777777" w:rsidR="00815E02" w:rsidRPr="00291306" w:rsidRDefault="00815E02" w:rsidP="00594811">
            <w:pPr>
              <w:spacing w:after="0" w:line="259" w:lineRule="auto"/>
              <w:ind w:right="57" w:firstLine="0"/>
              <w:rPr>
                <w:sz w:val="22"/>
                <w:szCs w:val="22"/>
              </w:rPr>
            </w:pPr>
          </w:p>
        </w:tc>
        <w:tc>
          <w:tcPr>
            <w:tcW w:w="363" w:type="pct"/>
            <w:tcBorders>
              <w:top w:val="single" w:sz="5" w:space="0" w:color="000000"/>
              <w:left w:val="single" w:sz="5" w:space="0" w:color="000000"/>
              <w:bottom w:val="single" w:sz="5" w:space="0" w:color="000000"/>
              <w:right w:val="single" w:sz="5" w:space="0" w:color="000000"/>
            </w:tcBorders>
            <w:vAlign w:val="center"/>
          </w:tcPr>
          <w:p w14:paraId="660BD7D5" w14:textId="5245210E" w:rsidR="00815E02" w:rsidRPr="00841B34" w:rsidRDefault="00815E02" w:rsidP="00815E02">
            <w:pPr>
              <w:spacing w:after="0" w:line="259" w:lineRule="auto"/>
              <w:ind w:right="57" w:firstLine="0"/>
              <w:jc w:val="center"/>
              <w:rPr>
                <w:sz w:val="22"/>
                <w:szCs w:val="22"/>
              </w:rPr>
            </w:pPr>
            <w:r>
              <w:rPr>
                <w:sz w:val="22"/>
                <w:szCs w:val="22"/>
              </w:rPr>
              <w:t>2026 – 1</w:t>
            </w:r>
          </w:p>
        </w:tc>
        <w:tc>
          <w:tcPr>
            <w:tcW w:w="633" w:type="pct"/>
            <w:tcBorders>
              <w:left w:val="single" w:sz="5" w:space="0" w:color="000000"/>
              <w:right w:val="single" w:sz="5" w:space="0" w:color="000000"/>
            </w:tcBorders>
            <w:vAlign w:val="center"/>
          </w:tcPr>
          <w:p w14:paraId="6F640348" w14:textId="7DD56334" w:rsidR="00815E02" w:rsidRPr="00841B34" w:rsidRDefault="00815E02" w:rsidP="00815E02">
            <w:pPr>
              <w:spacing w:after="0" w:line="259" w:lineRule="auto"/>
              <w:ind w:right="57" w:firstLine="0"/>
              <w:jc w:val="center"/>
              <w:rPr>
                <w:sz w:val="22"/>
                <w:szCs w:val="22"/>
              </w:rPr>
            </w:pPr>
            <w:r>
              <w:rPr>
                <w:sz w:val="22"/>
                <w:szCs w:val="22"/>
              </w:rPr>
              <w:t xml:space="preserve">2026 – </w:t>
            </w:r>
            <w:r w:rsidRPr="00291306">
              <w:rPr>
                <w:sz w:val="22"/>
                <w:szCs w:val="22"/>
              </w:rPr>
              <w:t>2</w:t>
            </w:r>
            <w:r>
              <w:rPr>
                <w:sz w:val="22"/>
                <w:szCs w:val="22"/>
              </w:rPr>
              <w:t xml:space="preserve"> </w:t>
            </w:r>
            <w:r w:rsidRPr="00291306">
              <w:rPr>
                <w:sz w:val="22"/>
                <w:szCs w:val="22"/>
              </w:rPr>
              <w:t>782</w:t>
            </w:r>
            <w:r>
              <w:rPr>
                <w:sz w:val="22"/>
                <w:szCs w:val="22"/>
              </w:rPr>
              <w:t xml:space="preserve"> </w:t>
            </w:r>
            <w:r w:rsidRPr="00291306">
              <w:rPr>
                <w:sz w:val="22"/>
                <w:szCs w:val="22"/>
              </w:rPr>
              <w:t>500</w:t>
            </w:r>
            <w:r>
              <w:rPr>
                <w:sz w:val="22"/>
                <w:szCs w:val="22"/>
              </w:rPr>
              <w:t>,0</w:t>
            </w:r>
          </w:p>
        </w:tc>
        <w:tc>
          <w:tcPr>
            <w:tcW w:w="520" w:type="pct"/>
            <w:vMerge/>
            <w:tcBorders>
              <w:left w:val="single" w:sz="5" w:space="0" w:color="000000"/>
              <w:right w:val="single" w:sz="5" w:space="0" w:color="000000"/>
            </w:tcBorders>
          </w:tcPr>
          <w:p w14:paraId="0D8B63FA" w14:textId="77777777" w:rsidR="00815E02" w:rsidRPr="00841B34" w:rsidRDefault="00815E02" w:rsidP="00594811">
            <w:pPr>
              <w:spacing w:after="0" w:line="259" w:lineRule="auto"/>
              <w:ind w:right="57" w:firstLine="0"/>
              <w:rPr>
                <w:sz w:val="22"/>
                <w:szCs w:val="22"/>
              </w:rPr>
            </w:pPr>
          </w:p>
        </w:tc>
        <w:tc>
          <w:tcPr>
            <w:tcW w:w="426" w:type="pct"/>
            <w:vMerge/>
            <w:tcBorders>
              <w:left w:val="single" w:sz="5" w:space="0" w:color="000000"/>
              <w:right w:val="single" w:sz="5" w:space="0" w:color="000000"/>
            </w:tcBorders>
          </w:tcPr>
          <w:p w14:paraId="6ADED97D" w14:textId="6F0AD49C" w:rsidR="00815E02" w:rsidRPr="00841B34" w:rsidRDefault="00815E02" w:rsidP="00594811">
            <w:pPr>
              <w:spacing w:after="0" w:line="259" w:lineRule="auto"/>
              <w:ind w:right="57" w:firstLine="0"/>
              <w:rPr>
                <w:sz w:val="22"/>
                <w:szCs w:val="22"/>
              </w:rPr>
            </w:pPr>
          </w:p>
        </w:tc>
        <w:tc>
          <w:tcPr>
            <w:tcW w:w="568" w:type="pct"/>
            <w:vMerge/>
            <w:tcBorders>
              <w:left w:val="single" w:sz="5" w:space="0" w:color="000000"/>
              <w:right w:val="single" w:sz="5" w:space="0" w:color="000000"/>
            </w:tcBorders>
          </w:tcPr>
          <w:p w14:paraId="024A85D4" w14:textId="77777777" w:rsidR="00815E02" w:rsidRDefault="00815E02" w:rsidP="00594811">
            <w:pPr>
              <w:spacing w:after="0" w:line="259" w:lineRule="auto"/>
              <w:ind w:right="57" w:firstLine="0"/>
              <w:rPr>
                <w:sz w:val="22"/>
                <w:szCs w:val="22"/>
              </w:rPr>
            </w:pPr>
          </w:p>
        </w:tc>
      </w:tr>
      <w:tr w:rsidR="00815E02" w:rsidRPr="00841B34" w14:paraId="45043C07" w14:textId="77777777" w:rsidTr="00815E02">
        <w:trPr>
          <w:trHeight w:val="820"/>
        </w:trPr>
        <w:tc>
          <w:tcPr>
            <w:tcW w:w="590" w:type="pct"/>
            <w:vMerge/>
            <w:tcBorders>
              <w:left w:val="nil"/>
              <w:bottom w:val="single" w:sz="2" w:space="0" w:color="000000"/>
              <w:right w:val="single" w:sz="2" w:space="0" w:color="000000"/>
            </w:tcBorders>
            <w:vAlign w:val="center"/>
          </w:tcPr>
          <w:p w14:paraId="0A347AB4" w14:textId="77777777" w:rsidR="00815E02" w:rsidRPr="00841B34" w:rsidRDefault="00815E02" w:rsidP="00594811">
            <w:pPr>
              <w:spacing w:after="0" w:line="259" w:lineRule="auto"/>
              <w:ind w:right="57" w:firstLine="0"/>
              <w:rPr>
                <w:sz w:val="22"/>
                <w:szCs w:val="22"/>
              </w:rPr>
            </w:pPr>
          </w:p>
        </w:tc>
        <w:tc>
          <w:tcPr>
            <w:tcW w:w="316" w:type="pct"/>
            <w:vMerge/>
            <w:tcBorders>
              <w:left w:val="nil"/>
              <w:bottom w:val="single" w:sz="2" w:space="0" w:color="000000"/>
              <w:right w:val="single" w:sz="2" w:space="0" w:color="000000"/>
            </w:tcBorders>
            <w:vAlign w:val="center"/>
          </w:tcPr>
          <w:p w14:paraId="1A540649" w14:textId="77777777" w:rsidR="00815E02" w:rsidRDefault="00815E02" w:rsidP="00594811">
            <w:pPr>
              <w:spacing w:after="0" w:line="259" w:lineRule="auto"/>
              <w:ind w:right="57" w:firstLine="0"/>
              <w:rPr>
                <w:sz w:val="22"/>
                <w:szCs w:val="22"/>
              </w:rPr>
            </w:pPr>
          </w:p>
        </w:tc>
        <w:tc>
          <w:tcPr>
            <w:tcW w:w="591" w:type="pct"/>
            <w:vMerge/>
            <w:tcBorders>
              <w:left w:val="single" w:sz="2" w:space="0" w:color="000000"/>
              <w:bottom w:val="single" w:sz="2" w:space="0" w:color="000000"/>
              <w:right w:val="single" w:sz="5" w:space="0" w:color="000000"/>
            </w:tcBorders>
            <w:vAlign w:val="center"/>
          </w:tcPr>
          <w:p w14:paraId="2481EF85" w14:textId="77777777" w:rsidR="00815E02" w:rsidRPr="00291306" w:rsidRDefault="00815E02" w:rsidP="00594811">
            <w:pPr>
              <w:spacing w:after="0" w:line="259" w:lineRule="auto"/>
              <w:ind w:right="57" w:firstLine="0"/>
              <w:rPr>
                <w:sz w:val="22"/>
                <w:szCs w:val="22"/>
              </w:rPr>
            </w:pPr>
          </w:p>
        </w:tc>
        <w:tc>
          <w:tcPr>
            <w:tcW w:w="495" w:type="pct"/>
            <w:vMerge/>
            <w:tcBorders>
              <w:left w:val="single" w:sz="5" w:space="0" w:color="000000"/>
              <w:bottom w:val="single" w:sz="2" w:space="0" w:color="000000"/>
              <w:right w:val="single" w:sz="5" w:space="0" w:color="000000"/>
            </w:tcBorders>
          </w:tcPr>
          <w:p w14:paraId="27CE825B" w14:textId="77777777" w:rsidR="00815E02" w:rsidRPr="00291306" w:rsidRDefault="00815E02" w:rsidP="00594811">
            <w:pPr>
              <w:spacing w:after="0" w:line="259" w:lineRule="auto"/>
              <w:ind w:right="57" w:firstLine="0"/>
              <w:rPr>
                <w:sz w:val="22"/>
                <w:szCs w:val="22"/>
              </w:rPr>
            </w:pPr>
          </w:p>
        </w:tc>
        <w:tc>
          <w:tcPr>
            <w:tcW w:w="498" w:type="pct"/>
            <w:vMerge/>
            <w:tcBorders>
              <w:left w:val="single" w:sz="5" w:space="0" w:color="000000"/>
              <w:bottom w:val="single" w:sz="2" w:space="0" w:color="000000"/>
              <w:right w:val="single" w:sz="5" w:space="0" w:color="000000"/>
            </w:tcBorders>
            <w:vAlign w:val="center"/>
          </w:tcPr>
          <w:p w14:paraId="386BAA03" w14:textId="77777777" w:rsidR="00815E02" w:rsidRPr="00291306" w:rsidRDefault="00815E02" w:rsidP="00594811">
            <w:pPr>
              <w:spacing w:after="0" w:line="259" w:lineRule="auto"/>
              <w:ind w:right="57" w:firstLine="0"/>
              <w:rPr>
                <w:sz w:val="22"/>
                <w:szCs w:val="22"/>
              </w:rPr>
            </w:pPr>
          </w:p>
        </w:tc>
        <w:tc>
          <w:tcPr>
            <w:tcW w:w="363" w:type="pct"/>
            <w:tcBorders>
              <w:top w:val="single" w:sz="5" w:space="0" w:color="000000"/>
              <w:left w:val="single" w:sz="5" w:space="0" w:color="000000"/>
              <w:bottom w:val="single" w:sz="2" w:space="0" w:color="000000"/>
              <w:right w:val="single" w:sz="5" w:space="0" w:color="000000"/>
            </w:tcBorders>
            <w:vAlign w:val="center"/>
          </w:tcPr>
          <w:p w14:paraId="1565FD79" w14:textId="173751D4" w:rsidR="00815E02" w:rsidRPr="00841B34" w:rsidRDefault="00815E02" w:rsidP="00815E02">
            <w:pPr>
              <w:spacing w:after="0" w:line="259" w:lineRule="auto"/>
              <w:ind w:right="57" w:firstLine="0"/>
              <w:jc w:val="center"/>
              <w:rPr>
                <w:sz w:val="22"/>
                <w:szCs w:val="22"/>
              </w:rPr>
            </w:pPr>
            <w:r>
              <w:rPr>
                <w:sz w:val="22"/>
                <w:szCs w:val="22"/>
              </w:rPr>
              <w:t>2027 – 1</w:t>
            </w:r>
          </w:p>
        </w:tc>
        <w:tc>
          <w:tcPr>
            <w:tcW w:w="633" w:type="pct"/>
            <w:tcBorders>
              <w:left w:val="single" w:sz="5" w:space="0" w:color="000000"/>
              <w:bottom w:val="single" w:sz="2" w:space="0" w:color="000000"/>
              <w:right w:val="single" w:sz="5" w:space="0" w:color="000000"/>
            </w:tcBorders>
            <w:vAlign w:val="center"/>
          </w:tcPr>
          <w:p w14:paraId="04B9D045" w14:textId="01351FB0" w:rsidR="00815E02" w:rsidRPr="00841B34" w:rsidRDefault="00815E02" w:rsidP="00815E02">
            <w:pPr>
              <w:spacing w:after="0" w:line="259" w:lineRule="auto"/>
              <w:ind w:right="57" w:firstLine="0"/>
              <w:jc w:val="center"/>
              <w:rPr>
                <w:sz w:val="22"/>
                <w:szCs w:val="22"/>
              </w:rPr>
            </w:pPr>
            <w:r>
              <w:rPr>
                <w:sz w:val="22"/>
                <w:szCs w:val="22"/>
              </w:rPr>
              <w:t xml:space="preserve">2027 – </w:t>
            </w:r>
            <w:r w:rsidRPr="00291306">
              <w:rPr>
                <w:sz w:val="22"/>
                <w:szCs w:val="22"/>
              </w:rPr>
              <w:t>2</w:t>
            </w:r>
            <w:r>
              <w:rPr>
                <w:sz w:val="22"/>
                <w:szCs w:val="22"/>
              </w:rPr>
              <w:t xml:space="preserve"> </w:t>
            </w:r>
            <w:r w:rsidRPr="00291306">
              <w:rPr>
                <w:sz w:val="22"/>
                <w:szCs w:val="22"/>
              </w:rPr>
              <w:t>921</w:t>
            </w:r>
            <w:r>
              <w:rPr>
                <w:sz w:val="22"/>
                <w:szCs w:val="22"/>
              </w:rPr>
              <w:t xml:space="preserve"> </w:t>
            </w:r>
            <w:r w:rsidRPr="00291306">
              <w:rPr>
                <w:sz w:val="22"/>
                <w:szCs w:val="22"/>
              </w:rPr>
              <w:t>600</w:t>
            </w:r>
            <w:r>
              <w:rPr>
                <w:sz w:val="22"/>
                <w:szCs w:val="22"/>
              </w:rPr>
              <w:t>,0</w:t>
            </w:r>
          </w:p>
        </w:tc>
        <w:tc>
          <w:tcPr>
            <w:tcW w:w="520" w:type="pct"/>
            <w:vMerge/>
            <w:tcBorders>
              <w:left w:val="single" w:sz="5" w:space="0" w:color="000000"/>
              <w:bottom w:val="single" w:sz="2" w:space="0" w:color="000000"/>
              <w:right w:val="single" w:sz="5" w:space="0" w:color="000000"/>
            </w:tcBorders>
          </w:tcPr>
          <w:p w14:paraId="599609EE" w14:textId="77777777" w:rsidR="00815E02" w:rsidRPr="00841B34" w:rsidRDefault="00815E02" w:rsidP="00594811">
            <w:pPr>
              <w:spacing w:after="0" w:line="259" w:lineRule="auto"/>
              <w:ind w:right="57" w:firstLine="0"/>
              <w:rPr>
                <w:sz w:val="22"/>
                <w:szCs w:val="22"/>
              </w:rPr>
            </w:pPr>
          </w:p>
        </w:tc>
        <w:tc>
          <w:tcPr>
            <w:tcW w:w="426" w:type="pct"/>
            <w:vMerge/>
            <w:tcBorders>
              <w:left w:val="single" w:sz="5" w:space="0" w:color="000000"/>
              <w:bottom w:val="single" w:sz="2" w:space="0" w:color="000000"/>
              <w:right w:val="single" w:sz="5" w:space="0" w:color="000000"/>
            </w:tcBorders>
          </w:tcPr>
          <w:p w14:paraId="67779B37" w14:textId="378738AD" w:rsidR="00815E02" w:rsidRPr="00841B34" w:rsidRDefault="00815E02" w:rsidP="00594811">
            <w:pPr>
              <w:spacing w:after="0" w:line="259" w:lineRule="auto"/>
              <w:ind w:right="57" w:firstLine="0"/>
              <w:rPr>
                <w:sz w:val="22"/>
                <w:szCs w:val="22"/>
              </w:rPr>
            </w:pPr>
          </w:p>
        </w:tc>
        <w:tc>
          <w:tcPr>
            <w:tcW w:w="568" w:type="pct"/>
            <w:vMerge/>
            <w:tcBorders>
              <w:left w:val="single" w:sz="5" w:space="0" w:color="000000"/>
              <w:bottom w:val="single" w:sz="2" w:space="0" w:color="000000"/>
              <w:right w:val="single" w:sz="5" w:space="0" w:color="000000"/>
            </w:tcBorders>
          </w:tcPr>
          <w:p w14:paraId="728A7700" w14:textId="77777777" w:rsidR="00815E02" w:rsidRDefault="00815E02" w:rsidP="00594811">
            <w:pPr>
              <w:spacing w:after="0" w:line="259" w:lineRule="auto"/>
              <w:ind w:right="57" w:firstLine="0"/>
              <w:rPr>
                <w:sz w:val="22"/>
                <w:szCs w:val="22"/>
              </w:rPr>
            </w:pPr>
          </w:p>
        </w:tc>
      </w:tr>
    </w:tbl>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000000" w:rsidP="00594811">
      <w:pPr>
        <w:spacing w:after="0"/>
        <w:ind w:right="57" w:firstLine="0"/>
        <w:rPr>
          <w:sz w:val="22"/>
          <w:szCs w:val="22"/>
        </w:rPr>
      </w:pPr>
      <w:r w:rsidRPr="00841B34">
        <w:rPr>
          <w:sz w:val="22"/>
          <w:szCs w:val="22"/>
        </w:rPr>
        <w:lastRenderedPageBreak/>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200D10E" w14:textId="5D186E7E" w:rsidR="00803A8B" w:rsidRPr="00841B34" w:rsidRDefault="00000000" w:rsidP="00594811">
      <w:pPr>
        <w:spacing w:after="0"/>
        <w:ind w:right="57" w:firstLine="0"/>
        <w:jc w:val="center"/>
        <w:rPr>
          <w:sz w:val="22"/>
          <w:szCs w:val="22"/>
        </w:rPr>
      </w:pPr>
      <w:r w:rsidRPr="00841B34">
        <w:rPr>
          <w:b/>
          <w:sz w:val="22"/>
          <w:szCs w:val="22"/>
        </w:rPr>
        <w:t>3.</w:t>
      </w:r>
      <w:r w:rsidR="00C9634E" w:rsidRPr="00C9634E">
        <w:rPr>
          <w:b/>
          <w:sz w:val="22"/>
          <w:szCs w:val="22"/>
        </w:rPr>
        <w:t>1</w:t>
      </w:r>
      <w:r w:rsidRPr="00841B34">
        <w:rPr>
          <w:b/>
          <w:sz w:val="22"/>
          <w:szCs w:val="22"/>
        </w:rPr>
        <w:t xml:space="preserve">. Предельные объемы работ и услуг, которые могут быть переданы потенциальным поставщиком </w:t>
      </w:r>
      <w:proofErr w:type="spellStart"/>
      <w:r w:rsidRPr="00841B34">
        <w:rPr>
          <w:b/>
          <w:sz w:val="22"/>
          <w:szCs w:val="22"/>
        </w:rPr>
        <w:t>субпорядчикам</w:t>
      </w:r>
      <w:proofErr w:type="spellEnd"/>
      <w:r w:rsidRPr="00841B34">
        <w:rPr>
          <w:b/>
          <w:sz w:val="22"/>
          <w:szCs w:val="22"/>
        </w:rPr>
        <w:t xml:space="preserve"> (соисполнителям)</w:t>
      </w:r>
    </w:p>
    <w:p w14:paraId="7460B2A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B326E3" w14:textId="5E224D98" w:rsidR="00803A8B" w:rsidRPr="00841B34" w:rsidRDefault="00000000" w:rsidP="00594811">
      <w:pPr>
        <w:spacing w:after="0"/>
        <w:ind w:right="57" w:firstLine="0"/>
        <w:rPr>
          <w:sz w:val="22"/>
          <w:szCs w:val="22"/>
        </w:rPr>
      </w:pPr>
      <w:r w:rsidRPr="00841B34">
        <w:rPr>
          <w:sz w:val="22"/>
          <w:szCs w:val="22"/>
        </w:rPr>
        <w:t>3.</w:t>
      </w:r>
      <w:r w:rsidR="00C9634E" w:rsidRPr="00D76D44">
        <w:rPr>
          <w:sz w:val="22"/>
          <w:szCs w:val="22"/>
        </w:rPr>
        <w:t>1</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632180D" w14:textId="72CA3F4C" w:rsidR="00803A8B" w:rsidRPr="00841B34" w:rsidRDefault="00000000" w:rsidP="00594811">
      <w:pPr>
        <w:pStyle w:val="20"/>
        <w:spacing w:after="0"/>
        <w:ind w:left="0" w:right="57" w:firstLine="0"/>
        <w:rPr>
          <w:sz w:val="22"/>
          <w:szCs w:val="22"/>
        </w:rPr>
      </w:pPr>
      <w:r w:rsidRPr="00841B34">
        <w:rPr>
          <w:sz w:val="22"/>
          <w:szCs w:val="22"/>
        </w:rPr>
        <w:t>3.</w:t>
      </w:r>
      <w:r w:rsidR="00C9634E" w:rsidRPr="00C9634E">
        <w:rPr>
          <w:sz w:val="22"/>
          <w:szCs w:val="22"/>
        </w:rPr>
        <w:t>2</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AA3F1F0" w14:textId="7F9EBE35" w:rsidR="00803A8B" w:rsidRPr="00841B34" w:rsidRDefault="00000000" w:rsidP="00594811">
      <w:pPr>
        <w:spacing w:after="0"/>
        <w:ind w:right="57" w:firstLine="0"/>
        <w:rPr>
          <w:sz w:val="22"/>
          <w:szCs w:val="22"/>
        </w:rPr>
      </w:pPr>
      <w:r w:rsidRPr="00841B34">
        <w:rPr>
          <w:sz w:val="22"/>
          <w:szCs w:val="22"/>
        </w:rPr>
        <w:t>3.</w:t>
      </w:r>
      <w:r w:rsidR="00C9634E" w:rsidRPr="00D76D44">
        <w:rPr>
          <w:sz w:val="22"/>
          <w:szCs w:val="22"/>
        </w:rPr>
        <w:t>2</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2EDD1E8" w:rsidR="00E03BAA" w:rsidRPr="00841B34" w:rsidRDefault="00E03BAA" w:rsidP="00594811">
      <w:pPr>
        <w:spacing w:after="0" w:line="259" w:lineRule="auto"/>
        <w:ind w:right="57" w:firstLine="0"/>
        <w:jc w:val="center"/>
        <w:rPr>
          <w:b/>
          <w:sz w:val="22"/>
          <w:szCs w:val="22"/>
        </w:rPr>
      </w:pPr>
      <w:r w:rsidRPr="00841B34">
        <w:rPr>
          <w:b/>
          <w:sz w:val="22"/>
          <w:szCs w:val="22"/>
        </w:rPr>
        <w:t>3.</w:t>
      </w:r>
      <w:r w:rsidR="00C9634E" w:rsidRPr="00D76D44">
        <w:rPr>
          <w:b/>
          <w:sz w:val="22"/>
          <w:szCs w:val="22"/>
        </w:rPr>
        <w:t>3</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0C5F0FDC" w:rsidR="00841B34" w:rsidRDefault="00E03BAA" w:rsidP="00594811">
      <w:pPr>
        <w:spacing w:after="0" w:line="259" w:lineRule="auto"/>
        <w:ind w:right="57" w:firstLine="0"/>
        <w:rPr>
          <w:bCs/>
          <w:sz w:val="22"/>
          <w:szCs w:val="22"/>
        </w:rPr>
      </w:pPr>
      <w:r w:rsidRPr="00841B34">
        <w:rPr>
          <w:bCs/>
          <w:sz w:val="22"/>
          <w:szCs w:val="22"/>
        </w:rPr>
        <w:t>3.</w:t>
      </w:r>
      <w:r w:rsidR="00C9634E" w:rsidRPr="00D76D44">
        <w:rPr>
          <w:bCs/>
          <w:sz w:val="22"/>
          <w:szCs w:val="22"/>
        </w:rPr>
        <w:t>3</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w:t>
      </w:r>
      <w:r w:rsidRPr="00841B34">
        <w:rPr>
          <w:bCs/>
          <w:sz w:val="22"/>
          <w:szCs w:val="22"/>
        </w:rPr>
        <w:lastRenderedPageBreak/>
        <w:t xml:space="preserve">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Default="00E03BAA" w:rsidP="00594811">
      <w:pPr>
        <w:spacing w:after="0" w:line="259" w:lineRule="auto"/>
        <w:ind w:right="57" w:firstLine="0"/>
        <w:rPr>
          <w:bCs/>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A3ACA31" w14:textId="77777777" w:rsidR="00D76D44" w:rsidRDefault="00D76D44" w:rsidP="00D76D44">
      <w:pPr>
        <w:spacing w:after="0" w:line="259" w:lineRule="auto"/>
        <w:ind w:right="57" w:firstLine="0"/>
        <w:jc w:val="center"/>
        <w:rPr>
          <w:b/>
          <w:sz w:val="22"/>
          <w:szCs w:val="22"/>
        </w:rPr>
      </w:pPr>
    </w:p>
    <w:p w14:paraId="47E1D29D" w14:textId="753B0F21" w:rsidR="00D76D44" w:rsidRDefault="00D76D44" w:rsidP="00D76D44">
      <w:pPr>
        <w:spacing w:after="0" w:line="259" w:lineRule="auto"/>
        <w:ind w:right="57" w:firstLine="0"/>
        <w:jc w:val="center"/>
        <w:rPr>
          <w:b/>
          <w:sz w:val="22"/>
          <w:szCs w:val="22"/>
        </w:rPr>
      </w:pPr>
      <w:r w:rsidRPr="00841B34">
        <w:rPr>
          <w:b/>
          <w:sz w:val="22"/>
          <w:szCs w:val="22"/>
        </w:rPr>
        <w:t>3.</w:t>
      </w:r>
      <w:r>
        <w:rPr>
          <w:b/>
          <w:sz w:val="22"/>
          <w:szCs w:val="22"/>
        </w:rPr>
        <w:t>4</w:t>
      </w:r>
      <w:r w:rsidRPr="00841B34">
        <w:rPr>
          <w:b/>
          <w:sz w:val="22"/>
          <w:szCs w:val="22"/>
        </w:rPr>
        <w:t xml:space="preserve">. </w:t>
      </w:r>
      <w:r>
        <w:rPr>
          <w:b/>
          <w:sz w:val="22"/>
          <w:szCs w:val="22"/>
        </w:rPr>
        <w:t>Дополнительные требования к потенциальному поставщику, требующие документального подтверждения</w:t>
      </w:r>
    </w:p>
    <w:p w14:paraId="73414F2A" w14:textId="77777777" w:rsidR="00D76D44" w:rsidRDefault="00D76D44" w:rsidP="00D76D44">
      <w:pPr>
        <w:spacing w:after="0" w:line="259" w:lineRule="auto"/>
        <w:ind w:right="57" w:firstLine="0"/>
        <w:jc w:val="center"/>
        <w:rPr>
          <w:b/>
          <w:sz w:val="22"/>
          <w:szCs w:val="22"/>
        </w:rPr>
      </w:pPr>
    </w:p>
    <w:p w14:paraId="74304E5F" w14:textId="26C7572F" w:rsidR="00D76D44" w:rsidRPr="00D76D44" w:rsidRDefault="00D76D44" w:rsidP="00D76D44">
      <w:pPr>
        <w:spacing w:after="0" w:line="259" w:lineRule="auto"/>
        <w:ind w:right="57" w:firstLine="0"/>
        <w:jc w:val="left"/>
        <w:rPr>
          <w:bCs/>
          <w:sz w:val="22"/>
          <w:szCs w:val="22"/>
        </w:rPr>
      </w:pPr>
      <w:r w:rsidRPr="00D76D44">
        <w:rPr>
          <w:bCs/>
          <w:sz w:val="22"/>
          <w:szCs w:val="22"/>
        </w:rPr>
        <w:t xml:space="preserve">3.4.1. </w:t>
      </w:r>
      <w:r>
        <w:rPr>
          <w:bCs/>
          <w:sz w:val="22"/>
          <w:szCs w:val="22"/>
        </w:rPr>
        <w:t xml:space="preserve">Потенциальный поставщик должен предоставить документ, подтверждающий о том, что он является участником </w:t>
      </w:r>
      <w:r>
        <w:rPr>
          <w:bCs/>
          <w:sz w:val="22"/>
          <w:szCs w:val="22"/>
          <w:lang w:val="en-US"/>
        </w:rPr>
        <w:t>Astana</w:t>
      </w:r>
      <w:r w:rsidRPr="00D76D44">
        <w:rPr>
          <w:bCs/>
          <w:sz w:val="22"/>
          <w:szCs w:val="22"/>
        </w:rPr>
        <w:t xml:space="preserve"> </w:t>
      </w:r>
      <w:r>
        <w:rPr>
          <w:bCs/>
          <w:sz w:val="22"/>
          <w:szCs w:val="22"/>
          <w:lang w:val="en-US"/>
        </w:rPr>
        <w:t>Hub</w:t>
      </w:r>
      <w:r>
        <w:rPr>
          <w:bCs/>
          <w:sz w:val="22"/>
          <w:szCs w:val="22"/>
        </w:rPr>
        <w:t>.</w:t>
      </w:r>
    </w:p>
    <w:p w14:paraId="3E85526A" w14:textId="486863D1" w:rsidR="00803A8B" w:rsidRPr="00841B34" w:rsidRDefault="00803A8B" w:rsidP="00594811">
      <w:pPr>
        <w:spacing w:after="0" w:line="259" w:lineRule="auto"/>
        <w:ind w:right="57" w:firstLine="0"/>
        <w:rPr>
          <w:sz w:val="22"/>
          <w:szCs w:val="22"/>
        </w:rPr>
      </w:pP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lastRenderedPageBreak/>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lastRenderedPageBreak/>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lastRenderedPageBreak/>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w:t>
      </w:r>
      <w:r w:rsidRPr="00841B34">
        <w:rPr>
          <w:sz w:val="22"/>
          <w:szCs w:val="22"/>
        </w:rPr>
        <w:lastRenderedPageBreak/>
        <w:t xml:space="preserve">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lastRenderedPageBreak/>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pPr>
        <w:pStyle w:val="a4"/>
        <w:numPr>
          <w:ilvl w:val="1"/>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lastRenderedPageBreak/>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0"/>
      <w:footerReference w:type="even" r:id="rId11"/>
      <w:headerReference w:type="first" r:id="rId12"/>
      <w:footerReference w:type="first" r:id="rId13"/>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F1AEE" w14:textId="77777777" w:rsidR="00395C64" w:rsidRDefault="00395C64">
      <w:pPr>
        <w:spacing w:after="0" w:line="240" w:lineRule="auto"/>
      </w:pPr>
      <w:r>
        <w:separator/>
      </w:r>
    </w:p>
  </w:endnote>
  <w:endnote w:type="continuationSeparator" w:id="0">
    <w:p w14:paraId="730326B0" w14:textId="77777777" w:rsidR="00395C64" w:rsidRDefault="0039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39DF0" w14:textId="77777777" w:rsidR="00395C64" w:rsidRDefault="00395C64">
      <w:pPr>
        <w:spacing w:after="0" w:line="240" w:lineRule="auto"/>
      </w:pPr>
      <w:r>
        <w:separator/>
      </w:r>
    </w:p>
  </w:footnote>
  <w:footnote w:type="continuationSeparator" w:id="0">
    <w:p w14:paraId="176D75B9" w14:textId="77777777" w:rsidR="00395C64" w:rsidRDefault="00395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1"/>
  </w:num>
  <w:num w:numId="2" w16cid:durableId="1823423485">
    <w:abstractNumId w:val="4"/>
  </w:num>
  <w:num w:numId="3" w16cid:durableId="791288229">
    <w:abstractNumId w:val="2"/>
  </w:num>
  <w:num w:numId="4" w16cid:durableId="353968682">
    <w:abstractNumId w:val="3"/>
  </w:num>
  <w:num w:numId="5" w16cid:durableId="143602514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B4773"/>
    <w:rsid w:val="000C554C"/>
    <w:rsid w:val="000E10FB"/>
    <w:rsid w:val="00112AFE"/>
    <w:rsid w:val="0013542A"/>
    <w:rsid w:val="00193A4F"/>
    <w:rsid w:val="001A0505"/>
    <w:rsid w:val="001C23E6"/>
    <w:rsid w:val="001F753B"/>
    <w:rsid w:val="002252AE"/>
    <w:rsid w:val="002372AE"/>
    <w:rsid w:val="00291306"/>
    <w:rsid w:val="002F43CC"/>
    <w:rsid w:val="00312853"/>
    <w:rsid w:val="00330446"/>
    <w:rsid w:val="00347A68"/>
    <w:rsid w:val="00395C64"/>
    <w:rsid w:val="003C7257"/>
    <w:rsid w:val="00423A30"/>
    <w:rsid w:val="00437A92"/>
    <w:rsid w:val="00492765"/>
    <w:rsid w:val="004C400F"/>
    <w:rsid w:val="004C5585"/>
    <w:rsid w:val="004C590F"/>
    <w:rsid w:val="00510C37"/>
    <w:rsid w:val="005152EF"/>
    <w:rsid w:val="00555197"/>
    <w:rsid w:val="00594811"/>
    <w:rsid w:val="005B2FF9"/>
    <w:rsid w:val="005C34BE"/>
    <w:rsid w:val="006427D9"/>
    <w:rsid w:val="006517FE"/>
    <w:rsid w:val="00666443"/>
    <w:rsid w:val="006B2071"/>
    <w:rsid w:val="00705AA6"/>
    <w:rsid w:val="00722578"/>
    <w:rsid w:val="0076523D"/>
    <w:rsid w:val="00791DA6"/>
    <w:rsid w:val="007B64ED"/>
    <w:rsid w:val="00802661"/>
    <w:rsid w:val="00803A8B"/>
    <w:rsid w:val="00815E02"/>
    <w:rsid w:val="00835FD8"/>
    <w:rsid w:val="00841B34"/>
    <w:rsid w:val="00882322"/>
    <w:rsid w:val="008B616A"/>
    <w:rsid w:val="009916D5"/>
    <w:rsid w:val="009B536E"/>
    <w:rsid w:val="009D2F7A"/>
    <w:rsid w:val="009F69A4"/>
    <w:rsid w:val="00A43B9B"/>
    <w:rsid w:val="00A44CE7"/>
    <w:rsid w:val="00A64DDA"/>
    <w:rsid w:val="00AF0EFC"/>
    <w:rsid w:val="00B76626"/>
    <w:rsid w:val="00BD6D75"/>
    <w:rsid w:val="00BF033A"/>
    <w:rsid w:val="00C10173"/>
    <w:rsid w:val="00C82FDB"/>
    <w:rsid w:val="00C9634E"/>
    <w:rsid w:val="00D12743"/>
    <w:rsid w:val="00D441C4"/>
    <w:rsid w:val="00D76D44"/>
    <w:rsid w:val="00D8707C"/>
    <w:rsid w:val="00E03BAA"/>
    <w:rsid w:val="00E20420"/>
    <w:rsid w:val="00E65FC4"/>
    <w:rsid w:val="00EC7EEC"/>
    <w:rsid w:val="00ED15DA"/>
    <w:rsid w:val="00ED4C4D"/>
    <w:rsid w:val="00EE5C30"/>
    <w:rsid w:val="00F31F8C"/>
    <w:rsid w:val="00F474CE"/>
    <w:rsid w:val="00F7012E"/>
    <w:rsid w:val="00F8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83212826">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1450</TotalTime>
  <Pages>1</Pages>
  <Words>4360</Words>
  <Characters>24855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28</cp:revision>
  <dcterms:created xsi:type="dcterms:W3CDTF">2024-10-07T05:29:00Z</dcterms:created>
  <dcterms:modified xsi:type="dcterms:W3CDTF">2025-01-06T05:00:00Z</dcterms:modified>
</cp:coreProperties>
</file>