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1B7380CA"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w:t>
      </w:r>
      <w:proofErr w:type="spellStart"/>
      <w:r w:rsidRPr="006B5082">
        <w:rPr>
          <w:sz w:val="22"/>
          <w:szCs w:val="22"/>
        </w:rPr>
        <w:t>Урихтау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466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81"/>
        <w:gridCol w:w="1573"/>
        <w:gridCol w:w="1964"/>
        <w:gridCol w:w="1495"/>
        <w:gridCol w:w="2648"/>
        <w:gridCol w:w="1544"/>
        <w:gridCol w:w="1544"/>
        <w:gridCol w:w="2046"/>
      </w:tblGrid>
      <w:tr w:rsidR="008A0283" w:rsidRPr="00841B34" w14:paraId="48954C0C" w14:textId="3A9AD78E" w:rsidTr="008A0283">
        <w:trPr>
          <w:trHeight w:val="632"/>
        </w:trPr>
        <w:tc>
          <w:tcPr>
            <w:tcW w:w="610" w:type="pct"/>
          </w:tcPr>
          <w:p w14:paraId="3BDFB73A" w14:textId="77777777" w:rsidR="008A0283" w:rsidRPr="00841B34" w:rsidRDefault="008A0283" w:rsidP="00594811">
            <w:pPr>
              <w:spacing w:after="0" w:line="259" w:lineRule="auto"/>
              <w:ind w:right="57" w:firstLine="0"/>
              <w:rPr>
                <w:b/>
                <w:sz w:val="22"/>
                <w:szCs w:val="22"/>
              </w:rPr>
            </w:pPr>
          </w:p>
          <w:p w14:paraId="4C0FD0A3" w14:textId="31802FA8" w:rsidR="008A0283" w:rsidRPr="00841B34" w:rsidRDefault="008A0283"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39" w:type="pct"/>
            <w:vAlign w:val="center"/>
          </w:tcPr>
          <w:p w14:paraId="5CFEADDB" w14:textId="21931337" w:rsidR="008A0283" w:rsidRPr="00841B34" w:rsidRDefault="008A0283"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73" w:type="pct"/>
            <w:vAlign w:val="center"/>
          </w:tcPr>
          <w:p w14:paraId="31608A51" w14:textId="6B5ED618" w:rsidR="008A0283" w:rsidRPr="00841B34" w:rsidRDefault="008A0283"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512" w:type="pct"/>
          </w:tcPr>
          <w:p w14:paraId="53994492" w14:textId="0A4322E4" w:rsidR="008A0283" w:rsidRPr="00841B34" w:rsidRDefault="008A0283"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907" w:type="pct"/>
          </w:tcPr>
          <w:p w14:paraId="5FA72482" w14:textId="5DA0D659" w:rsidR="008A0283" w:rsidRPr="00841B34" w:rsidRDefault="008A0283"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529" w:type="pct"/>
          </w:tcPr>
          <w:p w14:paraId="2A307C53" w14:textId="242B605F" w:rsidR="008A0283" w:rsidRPr="00841B34" w:rsidRDefault="008A0283"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529" w:type="pct"/>
          </w:tcPr>
          <w:p w14:paraId="2FD4150B" w14:textId="16162FB3" w:rsidR="008A0283" w:rsidRPr="00841B34" w:rsidRDefault="008A0283"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701" w:type="pct"/>
          </w:tcPr>
          <w:p w14:paraId="7F42C84B" w14:textId="1CE213E6" w:rsidR="008A0283" w:rsidRPr="00841B34" w:rsidRDefault="008A0283"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r>
      <w:tr w:rsidR="0086626E" w:rsidRPr="00841B34" w14:paraId="66D9C527" w14:textId="4380813D" w:rsidTr="008A0283">
        <w:trPr>
          <w:trHeight w:val="1274"/>
        </w:trPr>
        <w:tc>
          <w:tcPr>
            <w:tcW w:w="610" w:type="pct"/>
            <w:vAlign w:val="center"/>
          </w:tcPr>
          <w:p w14:paraId="175A0C06" w14:textId="41377014" w:rsidR="0086626E" w:rsidRPr="00841B34" w:rsidRDefault="0086626E" w:rsidP="0086626E">
            <w:pPr>
              <w:spacing w:after="0" w:line="259" w:lineRule="auto"/>
              <w:ind w:right="57" w:firstLine="0"/>
              <w:jc w:val="center"/>
              <w:rPr>
                <w:sz w:val="22"/>
                <w:szCs w:val="22"/>
              </w:rPr>
            </w:pPr>
            <w:r w:rsidRPr="00B60097">
              <w:rPr>
                <w:sz w:val="22"/>
                <w:szCs w:val="22"/>
              </w:rPr>
              <w:t>5224</w:t>
            </w:r>
          </w:p>
        </w:tc>
        <w:tc>
          <w:tcPr>
            <w:tcW w:w="539" w:type="pct"/>
            <w:vAlign w:val="center"/>
          </w:tcPr>
          <w:p w14:paraId="087EB7C3" w14:textId="03CE3C0B" w:rsidR="0086626E" w:rsidRPr="00841B34" w:rsidRDefault="0086626E" w:rsidP="0086626E">
            <w:pPr>
              <w:spacing w:after="0" w:line="259" w:lineRule="auto"/>
              <w:ind w:right="57" w:firstLine="0"/>
              <w:jc w:val="center"/>
              <w:rPr>
                <w:sz w:val="22"/>
                <w:szCs w:val="22"/>
              </w:rPr>
            </w:pPr>
            <w:proofErr w:type="gramStart"/>
            <w:r w:rsidRPr="00356AFC">
              <w:rPr>
                <w:sz w:val="22"/>
                <w:szCs w:val="22"/>
                <w:lang w:eastAsia="ru-KZ"/>
                <w14:ligatures w14:val="none"/>
              </w:rPr>
              <w:t>12-1</w:t>
            </w:r>
            <w:proofErr w:type="gramEnd"/>
            <w:r w:rsidRPr="00356AFC">
              <w:rPr>
                <w:sz w:val="22"/>
                <w:szCs w:val="22"/>
                <w:lang w:eastAsia="ru-KZ"/>
                <w14:ligatures w14:val="none"/>
              </w:rPr>
              <w:t xml:space="preserve"> Т</w:t>
            </w:r>
          </w:p>
        </w:tc>
        <w:tc>
          <w:tcPr>
            <w:tcW w:w="673" w:type="pct"/>
            <w:vAlign w:val="center"/>
          </w:tcPr>
          <w:p w14:paraId="005C5B42" w14:textId="12FE0D8E" w:rsidR="0086626E" w:rsidRPr="00EA7D2D" w:rsidRDefault="0086626E" w:rsidP="0086626E">
            <w:pPr>
              <w:spacing w:after="0" w:line="259" w:lineRule="auto"/>
              <w:ind w:right="57" w:firstLine="0"/>
              <w:rPr>
                <w:sz w:val="22"/>
                <w:szCs w:val="22"/>
              </w:rPr>
            </w:pPr>
            <w:r w:rsidRPr="00356AFC">
              <w:rPr>
                <w:sz w:val="22"/>
                <w:szCs w:val="22"/>
                <w:lang w:eastAsia="ru-KZ"/>
                <w14:ligatures w14:val="none"/>
              </w:rPr>
              <w:t>205952.100.000303</w:t>
            </w:r>
          </w:p>
        </w:tc>
        <w:tc>
          <w:tcPr>
            <w:tcW w:w="512" w:type="pct"/>
            <w:vAlign w:val="center"/>
          </w:tcPr>
          <w:p w14:paraId="27486483" w14:textId="3007E0F9" w:rsidR="0086626E" w:rsidRPr="00841B34" w:rsidRDefault="0086626E" w:rsidP="0086626E">
            <w:pPr>
              <w:spacing w:after="0" w:line="259" w:lineRule="auto"/>
              <w:ind w:right="57" w:firstLine="0"/>
              <w:rPr>
                <w:sz w:val="22"/>
                <w:szCs w:val="22"/>
              </w:rPr>
            </w:pPr>
            <w:r w:rsidRPr="00356AFC">
              <w:rPr>
                <w:sz w:val="22"/>
                <w:szCs w:val="22"/>
                <w:lang w:eastAsia="ru-KZ"/>
                <w14:ligatures w14:val="none"/>
              </w:rPr>
              <w:t>Реагент</w:t>
            </w:r>
          </w:p>
        </w:tc>
        <w:tc>
          <w:tcPr>
            <w:tcW w:w="907" w:type="pct"/>
            <w:vAlign w:val="center"/>
          </w:tcPr>
          <w:p w14:paraId="722594EB" w14:textId="41D73EE7" w:rsidR="0086626E" w:rsidRPr="005C6C2E" w:rsidRDefault="0086626E" w:rsidP="0086626E">
            <w:pPr>
              <w:spacing w:after="0" w:line="259" w:lineRule="auto"/>
              <w:ind w:right="57" w:firstLine="0"/>
              <w:jc w:val="left"/>
              <w:rPr>
                <w:sz w:val="22"/>
                <w:szCs w:val="22"/>
                <w:lang w:val="kk-KZ"/>
              </w:rPr>
            </w:pPr>
            <w:proofErr w:type="spellStart"/>
            <w:r w:rsidRPr="0086626E">
              <w:rPr>
                <w:sz w:val="22"/>
                <w:szCs w:val="22"/>
                <w:lang w:eastAsia="ru-KZ"/>
                <w14:ligatures w14:val="none"/>
              </w:rPr>
              <w:t>Сипаттамасы</w:t>
            </w:r>
            <w:proofErr w:type="spellEnd"/>
            <w:r w:rsidRPr="0086626E">
              <w:rPr>
                <w:sz w:val="22"/>
                <w:szCs w:val="22"/>
                <w:lang w:eastAsia="ru-KZ"/>
                <w14:ligatures w14:val="none"/>
              </w:rPr>
              <w:t>: асфальт-</w:t>
            </w:r>
            <w:proofErr w:type="spellStart"/>
            <w:r w:rsidRPr="0086626E">
              <w:rPr>
                <w:sz w:val="22"/>
                <w:szCs w:val="22"/>
                <w:lang w:eastAsia="ru-KZ"/>
                <w14:ligatures w14:val="none"/>
              </w:rPr>
              <w:t>Шайырлы</w:t>
            </w:r>
            <w:proofErr w:type="spellEnd"/>
            <w:r w:rsidRPr="0086626E">
              <w:rPr>
                <w:sz w:val="22"/>
                <w:szCs w:val="22"/>
                <w:lang w:eastAsia="ru-KZ"/>
                <w14:ligatures w14:val="none"/>
              </w:rPr>
              <w:t xml:space="preserve"> </w:t>
            </w:r>
            <w:proofErr w:type="spellStart"/>
            <w:r w:rsidRPr="0086626E">
              <w:rPr>
                <w:sz w:val="22"/>
                <w:szCs w:val="22"/>
                <w:lang w:eastAsia="ru-KZ"/>
                <w14:ligatures w14:val="none"/>
              </w:rPr>
              <w:t>және</w:t>
            </w:r>
            <w:proofErr w:type="spellEnd"/>
            <w:r w:rsidRPr="0086626E">
              <w:rPr>
                <w:sz w:val="22"/>
                <w:szCs w:val="22"/>
                <w:lang w:eastAsia="ru-KZ"/>
                <w14:ligatures w14:val="none"/>
              </w:rPr>
              <w:t xml:space="preserve"> </w:t>
            </w:r>
            <w:proofErr w:type="spellStart"/>
            <w:r w:rsidRPr="0086626E">
              <w:rPr>
                <w:sz w:val="22"/>
                <w:szCs w:val="22"/>
                <w:lang w:eastAsia="ru-KZ"/>
                <w14:ligatures w14:val="none"/>
              </w:rPr>
              <w:t>парафинді</w:t>
            </w:r>
            <w:proofErr w:type="spellEnd"/>
            <w:r w:rsidRPr="0086626E">
              <w:rPr>
                <w:sz w:val="22"/>
                <w:szCs w:val="22"/>
                <w:lang w:eastAsia="ru-KZ"/>
                <w14:ligatures w14:val="none"/>
              </w:rPr>
              <w:t xml:space="preserve"> </w:t>
            </w:r>
            <w:proofErr w:type="spellStart"/>
            <w:r w:rsidRPr="0086626E">
              <w:rPr>
                <w:sz w:val="22"/>
                <w:szCs w:val="22"/>
                <w:lang w:eastAsia="ru-KZ"/>
                <w14:ligatures w14:val="none"/>
              </w:rPr>
              <w:t>шөгінділердің</w:t>
            </w:r>
            <w:proofErr w:type="spellEnd"/>
            <w:r w:rsidRPr="0086626E">
              <w:rPr>
                <w:sz w:val="22"/>
                <w:szCs w:val="22"/>
                <w:lang w:eastAsia="ru-KZ"/>
                <w14:ligatures w14:val="none"/>
              </w:rPr>
              <w:t xml:space="preserve"> </w:t>
            </w:r>
            <w:proofErr w:type="spellStart"/>
            <w:r w:rsidRPr="0086626E">
              <w:rPr>
                <w:sz w:val="22"/>
                <w:szCs w:val="22"/>
                <w:lang w:eastAsia="ru-KZ"/>
                <w14:ligatures w14:val="none"/>
              </w:rPr>
              <w:t>еріткіш</w:t>
            </w:r>
            <w:proofErr w:type="spellEnd"/>
            <w:r w:rsidRPr="0086626E">
              <w:rPr>
                <w:sz w:val="22"/>
                <w:szCs w:val="22"/>
                <w:lang w:eastAsia="ru-KZ"/>
                <w14:ligatures w14:val="none"/>
              </w:rPr>
              <w:t xml:space="preserve"> </w:t>
            </w:r>
            <w:proofErr w:type="spellStart"/>
            <w:r w:rsidRPr="0086626E">
              <w:rPr>
                <w:sz w:val="22"/>
                <w:szCs w:val="22"/>
                <w:lang w:eastAsia="ru-KZ"/>
                <w14:ligatures w14:val="none"/>
              </w:rPr>
              <w:t>реагенті</w:t>
            </w:r>
            <w:proofErr w:type="spellEnd"/>
          </w:p>
        </w:tc>
        <w:tc>
          <w:tcPr>
            <w:tcW w:w="529" w:type="pct"/>
            <w:vAlign w:val="center"/>
          </w:tcPr>
          <w:p w14:paraId="26CEE014" w14:textId="2553FBA4" w:rsidR="0086626E" w:rsidRPr="008C46B1" w:rsidRDefault="0086626E" w:rsidP="0086626E">
            <w:pPr>
              <w:spacing w:after="0" w:line="259" w:lineRule="auto"/>
              <w:ind w:right="57" w:firstLine="0"/>
              <w:jc w:val="center"/>
              <w:rPr>
                <w:sz w:val="22"/>
                <w:szCs w:val="22"/>
                <w:lang w:val="en-US"/>
              </w:rPr>
            </w:pPr>
            <w:r w:rsidRPr="00356AFC">
              <w:rPr>
                <w:sz w:val="22"/>
                <w:szCs w:val="22"/>
                <w:lang w:eastAsia="ru-KZ"/>
                <w14:ligatures w14:val="none"/>
              </w:rPr>
              <w:t>8,0</w:t>
            </w:r>
          </w:p>
        </w:tc>
        <w:tc>
          <w:tcPr>
            <w:tcW w:w="529" w:type="pct"/>
            <w:vAlign w:val="center"/>
          </w:tcPr>
          <w:p w14:paraId="1AF6B397" w14:textId="157F5BF5" w:rsidR="0086626E" w:rsidRPr="00EA7D2D" w:rsidRDefault="0086626E" w:rsidP="0086626E">
            <w:pPr>
              <w:spacing w:after="0" w:line="259" w:lineRule="auto"/>
              <w:ind w:right="57" w:firstLine="0"/>
              <w:jc w:val="center"/>
              <w:rPr>
                <w:sz w:val="22"/>
                <w:szCs w:val="22"/>
              </w:rPr>
            </w:pPr>
            <w:r w:rsidRPr="00356AFC">
              <w:rPr>
                <w:sz w:val="22"/>
                <w:szCs w:val="22"/>
                <w:lang w:eastAsia="ru-KZ"/>
                <w14:ligatures w14:val="none"/>
              </w:rPr>
              <w:t>14 287 104,00</w:t>
            </w:r>
          </w:p>
        </w:tc>
        <w:tc>
          <w:tcPr>
            <w:tcW w:w="701" w:type="pct"/>
          </w:tcPr>
          <w:p w14:paraId="7AEF1718" w14:textId="5126F299" w:rsidR="0086626E" w:rsidRPr="00841B34" w:rsidRDefault="0086626E" w:rsidP="0086626E">
            <w:pPr>
              <w:spacing w:after="0" w:line="259" w:lineRule="auto"/>
              <w:ind w:right="57" w:firstLine="0"/>
              <w:rPr>
                <w:sz w:val="22"/>
                <w:szCs w:val="22"/>
              </w:rPr>
            </w:pPr>
            <w:proofErr w:type="spellStart"/>
            <w:r w:rsidRPr="00B30BE0">
              <w:rPr>
                <w:sz w:val="22"/>
                <w:szCs w:val="22"/>
              </w:rPr>
              <w:t>Қосылған</w:t>
            </w:r>
            <w:proofErr w:type="spellEnd"/>
            <w:r w:rsidRPr="00B30BE0">
              <w:rPr>
                <w:sz w:val="22"/>
                <w:szCs w:val="22"/>
              </w:rPr>
              <w:t xml:space="preserve"> </w:t>
            </w:r>
            <w:proofErr w:type="spellStart"/>
            <w:r w:rsidRPr="00B30BE0">
              <w:rPr>
                <w:sz w:val="22"/>
                <w:szCs w:val="22"/>
              </w:rPr>
              <w:t>құн</w:t>
            </w:r>
            <w:proofErr w:type="spellEnd"/>
            <w:r w:rsidRPr="00B30BE0">
              <w:rPr>
                <w:sz w:val="22"/>
                <w:szCs w:val="22"/>
              </w:rPr>
              <w:t xml:space="preserve"> </w:t>
            </w:r>
            <w:proofErr w:type="spellStart"/>
            <w:r w:rsidRPr="00B30BE0">
              <w:rPr>
                <w:sz w:val="22"/>
                <w:szCs w:val="22"/>
              </w:rPr>
              <w:t>салығын</w:t>
            </w:r>
            <w:proofErr w:type="spellEnd"/>
            <w:r w:rsidRPr="00B30BE0">
              <w:rPr>
                <w:sz w:val="22"/>
                <w:szCs w:val="22"/>
              </w:rPr>
              <w:t xml:space="preserve"> </w:t>
            </w:r>
            <w:proofErr w:type="spellStart"/>
            <w:r w:rsidRPr="00B30BE0">
              <w:rPr>
                <w:sz w:val="22"/>
                <w:szCs w:val="22"/>
              </w:rPr>
              <w:t>есептемегенде</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алудың</w:t>
            </w:r>
            <w:proofErr w:type="spellEnd"/>
            <w:r w:rsidRPr="00B30BE0">
              <w:rPr>
                <w:sz w:val="22"/>
                <w:szCs w:val="22"/>
              </w:rPr>
              <w:t xml:space="preserve"> </w:t>
            </w:r>
            <w:proofErr w:type="spellStart"/>
            <w:r w:rsidRPr="00B30BE0">
              <w:rPr>
                <w:sz w:val="22"/>
                <w:szCs w:val="22"/>
              </w:rPr>
              <w:t>жоспарланған</w:t>
            </w:r>
            <w:proofErr w:type="spellEnd"/>
            <w:r w:rsidRPr="00B30BE0">
              <w:rPr>
                <w:sz w:val="22"/>
                <w:szCs w:val="22"/>
              </w:rPr>
              <w:t xml:space="preserve"> </w:t>
            </w:r>
            <w:proofErr w:type="spellStart"/>
            <w:r w:rsidRPr="00B30BE0">
              <w:rPr>
                <w:sz w:val="22"/>
                <w:szCs w:val="22"/>
              </w:rPr>
              <w:t>сомасының</w:t>
            </w:r>
            <w:proofErr w:type="spellEnd"/>
            <w:r w:rsidRPr="00B30BE0">
              <w:rPr>
                <w:sz w:val="22"/>
                <w:szCs w:val="22"/>
              </w:rPr>
              <w:t xml:space="preserve"> 1%, </w:t>
            </w:r>
            <w:proofErr w:type="spellStart"/>
            <w:r w:rsidRPr="00B30BE0">
              <w:rPr>
                <w:sz w:val="22"/>
                <w:szCs w:val="22"/>
              </w:rPr>
              <w:t>теңге</w:t>
            </w:r>
            <w:proofErr w:type="spellEnd"/>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Урихтау</w:t>
      </w:r>
      <w:proofErr w:type="spellEnd"/>
      <w:r w:rsidRPr="00B30BE0">
        <w:rPr>
          <w:sz w:val="22"/>
          <w:szCs w:val="22"/>
        </w:rPr>
        <w:t xml:space="preserve">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A6AB" w14:textId="77777777" w:rsidR="00CF2378" w:rsidRDefault="00CF2378">
      <w:pPr>
        <w:spacing w:after="0" w:line="240" w:lineRule="auto"/>
      </w:pPr>
      <w:r>
        <w:separator/>
      </w:r>
    </w:p>
  </w:endnote>
  <w:endnote w:type="continuationSeparator" w:id="0">
    <w:p w14:paraId="52BEF901" w14:textId="77777777" w:rsidR="00CF2378" w:rsidRDefault="00CF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20E92" w14:textId="77777777" w:rsidR="00CF2378" w:rsidRDefault="00CF2378">
      <w:pPr>
        <w:spacing w:after="0" w:line="240" w:lineRule="auto"/>
      </w:pPr>
      <w:r>
        <w:separator/>
      </w:r>
    </w:p>
  </w:footnote>
  <w:footnote w:type="continuationSeparator" w:id="0">
    <w:p w14:paraId="1536673C" w14:textId="77777777" w:rsidR="00CF2378" w:rsidRDefault="00CF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773C8"/>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A5F37"/>
    <w:rsid w:val="002D25BC"/>
    <w:rsid w:val="002F43CC"/>
    <w:rsid w:val="00312853"/>
    <w:rsid w:val="00321C32"/>
    <w:rsid w:val="00334E27"/>
    <w:rsid w:val="00347A68"/>
    <w:rsid w:val="003609DE"/>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B2071"/>
    <w:rsid w:val="006B5082"/>
    <w:rsid w:val="006E180E"/>
    <w:rsid w:val="00714FE4"/>
    <w:rsid w:val="007159E6"/>
    <w:rsid w:val="00723CF0"/>
    <w:rsid w:val="00740AB5"/>
    <w:rsid w:val="0076523D"/>
    <w:rsid w:val="00791DA6"/>
    <w:rsid w:val="007A5EB5"/>
    <w:rsid w:val="007B64ED"/>
    <w:rsid w:val="00802661"/>
    <w:rsid w:val="00803A8B"/>
    <w:rsid w:val="00835FD8"/>
    <w:rsid w:val="00841B34"/>
    <w:rsid w:val="0085579D"/>
    <w:rsid w:val="0086626E"/>
    <w:rsid w:val="00882322"/>
    <w:rsid w:val="008A0283"/>
    <w:rsid w:val="008B2B09"/>
    <w:rsid w:val="008B616A"/>
    <w:rsid w:val="008C46B1"/>
    <w:rsid w:val="00926D88"/>
    <w:rsid w:val="009916D5"/>
    <w:rsid w:val="009B536E"/>
    <w:rsid w:val="009C3CB3"/>
    <w:rsid w:val="009D2F7A"/>
    <w:rsid w:val="009F69A4"/>
    <w:rsid w:val="00A43B9B"/>
    <w:rsid w:val="00A44CE7"/>
    <w:rsid w:val="00A64DDA"/>
    <w:rsid w:val="00A71F8D"/>
    <w:rsid w:val="00AB440F"/>
    <w:rsid w:val="00AF0EFC"/>
    <w:rsid w:val="00B30BE0"/>
    <w:rsid w:val="00B73630"/>
    <w:rsid w:val="00B76626"/>
    <w:rsid w:val="00BD69CF"/>
    <w:rsid w:val="00BD6D75"/>
    <w:rsid w:val="00BF033A"/>
    <w:rsid w:val="00C10173"/>
    <w:rsid w:val="00C2133D"/>
    <w:rsid w:val="00C82FDB"/>
    <w:rsid w:val="00CF2378"/>
    <w:rsid w:val="00D06937"/>
    <w:rsid w:val="00D12743"/>
    <w:rsid w:val="00D1547F"/>
    <w:rsid w:val="00D2045D"/>
    <w:rsid w:val="00D441C4"/>
    <w:rsid w:val="00D8707C"/>
    <w:rsid w:val="00E03BAA"/>
    <w:rsid w:val="00E20420"/>
    <w:rsid w:val="00E50B92"/>
    <w:rsid w:val="00E65FC4"/>
    <w:rsid w:val="00EA7D2D"/>
    <w:rsid w:val="00EC7EEC"/>
    <w:rsid w:val="00F1546A"/>
    <w:rsid w:val="00F2659E"/>
    <w:rsid w:val="00F31F8C"/>
    <w:rsid w:val="00F7012E"/>
    <w:rsid w:val="00F83819"/>
    <w:rsid w:val="00F97327"/>
    <w:rsid w:val="00FC0E8E"/>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141">
      <w:bodyDiv w:val="1"/>
      <w:marLeft w:val="0"/>
      <w:marRight w:val="0"/>
      <w:marTop w:val="0"/>
      <w:marBottom w:val="0"/>
      <w:divBdr>
        <w:top w:val="none" w:sz="0" w:space="0" w:color="auto"/>
        <w:left w:val="none" w:sz="0" w:space="0" w:color="auto"/>
        <w:bottom w:val="none" w:sz="0" w:space="0" w:color="auto"/>
        <w:right w:val="none" w:sz="0" w:space="0" w:color="auto"/>
      </w:divBdr>
    </w:div>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9354446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2025-02-04T11:58:00Z</dcterms:created>
  <dcterms:modified xsi:type="dcterms:W3CDTF">2025-02-04T11:58:00Z</dcterms:modified>
</cp:coreProperties>
</file>