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w:t>
      </w:r>
      <w:proofErr w:type="spellStart"/>
      <w:r w:rsidRPr="00841B34">
        <w:rPr>
          <w:sz w:val="22"/>
          <w:szCs w:val="22"/>
        </w:rPr>
        <w:t>Урихтау</w:t>
      </w:r>
      <w:proofErr w:type="spellEnd"/>
      <w:r w:rsidRPr="00841B34">
        <w:rPr>
          <w:sz w:val="22"/>
          <w:szCs w:val="22"/>
        </w:rPr>
        <w:t xml:space="preserve">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w:t>
      </w:r>
      <w:proofErr w:type="spellStart"/>
      <w:r w:rsidR="00056506" w:rsidRPr="00841B34">
        <w:rPr>
          <w:sz w:val="22"/>
          <w:szCs w:val="22"/>
        </w:rPr>
        <w:t>Урихтау</w:t>
      </w:r>
      <w:proofErr w:type="spellEnd"/>
      <w:r w:rsidR="00056506" w:rsidRPr="00841B34">
        <w:rPr>
          <w:sz w:val="22"/>
          <w:szCs w:val="22"/>
        </w:rPr>
        <w:t xml:space="preserve"> Оперейтинг»</w:t>
      </w:r>
      <w:r w:rsidRPr="00841B34">
        <w:rPr>
          <w:sz w:val="22"/>
          <w:szCs w:val="22"/>
        </w:rPr>
        <w:t xml:space="preserve">: </w:t>
      </w:r>
      <w:hyperlink r:id="rId7"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tbl>
      <w:tblPr>
        <w:tblStyle w:val="TableGrid"/>
        <w:tblW w:w="4664" w:type="pct"/>
        <w:tblInd w:w="0" w:type="dxa"/>
        <w:tblCellMar>
          <w:left w:w="18" w:type="dxa"/>
          <w:right w:w="56" w:type="dxa"/>
        </w:tblCellMar>
        <w:tblLook w:val="04A0" w:firstRow="1" w:lastRow="0" w:firstColumn="1" w:lastColumn="0" w:noHBand="0" w:noVBand="1"/>
      </w:tblPr>
      <w:tblGrid>
        <w:gridCol w:w="1942"/>
        <w:gridCol w:w="1055"/>
        <w:gridCol w:w="1923"/>
        <w:gridCol w:w="1626"/>
        <w:gridCol w:w="3405"/>
        <w:gridCol w:w="1559"/>
        <w:gridCol w:w="1487"/>
        <w:gridCol w:w="1600"/>
      </w:tblGrid>
      <w:tr w:rsidR="00907861" w:rsidRPr="00841B34" w14:paraId="48954C0C" w14:textId="3A9AD78E" w:rsidTr="00356AFC">
        <w:trPr>
          <w:trHeight w:val="2263"/>
        </w:trPr>
        <w:tc>
          <w:tcPr>
            <w:tcW w:w="665" w:type="pct"/>
            <w:tcBorders>
              <w:top w:val="single" w:sz="4" w:space="0" w:color="auto"/>
              <w:left w:val="single" w:sz="4" w:space="0" w:color="auto"/>
              <w:bottom w:val="single" w:sz="4" w:space="0" w:color="auto"/>
              <w:right w:val="single" w:sz="4" w:space="0" w:color="auto"/>
            </w:tcBorders>
          </w:tcPr>
          <w:p w14:paraId="3BDFB73A" w14:textId="77777777" w:rsidR="00907861" w:rsidRPr="00356AFC" w:rsidRDefault="00907861" w:rsidP="00594811">
            <w:pPr>
              <w:spacing w:after="0" w:line="259" w:lineRule="auto"/>
              <w:ind w:right="57" w:firstLine="0"/>
              <w:rPr>
                <w:b/>
                <w:sz w:val="22"/>
                <w:szCs w:val="22"/>
              </w:rPr>
            </w:pPr>
          </w:p>
          <w:p w14:paraId="4C0FD0A3" w14:textId="685C313D" w:rsidR="00907861" w:rsidRPr="00356AFC" w:rsidRDefault="00907861" w:rsidP="00594811">
            <w:pPr>
              <w:spacing w:after="0"/>
              <w:ind w:right="57" w:firstLine="0"/>
              <w:rPr>
                <w:b/>
                <w:bCs/>
                <w:sz w:val="22"/>
                <w:szCs w:val="22"/>
              </w:rPr>
            </w:pPr>
            <w:r w:rsidRPr="00356AFC">
              <w:rPr>
                <w:b/>
                <w:bCs/>
                <w:sz w:val="22"/>
                <w:szCs w:val="22"/>
              </w:rPr>
              <w:t>Номер контракта на недропользование</w:t>
            </w:r>
          </w:p>
        </w:tc>
        <w:tc>
          <w:tcPr>
            <w:tcW w:w="361" w:type="pct"/>
            <w:tcBorders>
              <w:top w:val="single" w:sz="2" w:space="0" w:color="000000"/>
              <w:left w:val="single" w:sz="4" w:space="0" w:color="auto"/>
              <w:bottom w:val="single" w:sz="4" w:space="0" w:color="auto"/>
              <w:right w:val="single" w:sz="5" w:space="0" w:color="000000"/>
            </w:tcBorders>
            <w:vAlign w:val="center"/>
          </w:tcPr>
          <w:p w14:paraId="5CFEADDB" w14:textId="7E98971A" w:rsidR="00907861" w:rsidRPr="00356AFC" w:rsidRDefault="00907861" w:rsidP="00594811">
            <w:pPr>
              <w:spacing w:after="0" w:line="259" w:lineRule="auto"/>
              <w:ind w:right="57" w:firstLine="0"/>
              <w:rPr>
                <w:b/>
                <w:bCs/>
                <w:sz w:val="22"/>
                <w:szCs w:val="22"/>
              </w:rPr>
            </w:pPr>
            <w:r w:rsidRPr="00356AFC">
              <w:rPr>
                <w:b/>
                <w:bCs/>
                <w:sz w:val="22"/>
                <w:szCs w:val="22"/>
              </w:rPr>
              <w:t>Код предмета закупки</w:t>
            </w:r>
          </w:p>
        </w:tc>
        <w:tc>
          <w:tcPr>
            <w:tcW w:w="659" w:type="pct"/>
            <w:tcBorders>
              <w:top w:val="single" w:sz="2" w:space="0" w:color="000000"/>
              <w:left w:val="single" w:sz="5" w:space="0" w:color="000000"/>
              <w:bottom w:val="single" w:sz="4" w:space="0" w:color="auto"/>
              <w:right w:val="single" w:sz="5" w:space="0" w:color="000000"/>
            </w:tcBorders>
            <w:vAlign w:val="center"/>
          </w:tcPr>
          <w:p w14:paraId="31608A51" w14:textId="324EF752" w:rsidR="00907861" w:rsidRPr="00356AFC" w:rsidRDefault="00907861" w:rsidP="00594811">
            <w:pPr>
              <w:spacing w:after="0" w:line="259" w:lineRule="auto"/>
              <w:ind w:right="57" w:firstLine="0"/>
              <w:rPr>
                <w:sz w:val="22"/>
                <w:szCs w:val="22"/>
              </w:rPr>
            </w:pPr>
            <w:r w:rsidRPr="00356AFC">
              <w:rPr>
                <w:b/>
                <w:sz w:val="22"/>
                <w:szCs w:val="22"/>
              </w:rPr>
              <w:t>Код товаров, работ или услуг по Единому номенклатурному справочнику товаров, работ и услуг</w:t>
            </w:r>
          </w:p>
        </w:tc>
        <w:tc>
          <w:tcPr>
            <w:tcW w:w="557" w:type="pct"/>
            <w:tcBorders>
              <w:top w:val="single" w:sz="2" w:space="0" w:color="000000"/>
              <w:left w:val="single" w:sz="5" w:space="0" w:color="000000"/>
              <w:bottom w:val="single" w:sz="4" w:space="0" w:color="auto"/>
              <w:right w:val="single" w:sz="5" w:space="0" w:color="000000"/>
            </w:tcBorders>
          </w:tcPr>
          <w:p w14:paraId="53994492" w14:textId="2BCB582C" w:rsidR="00907861" w:rsidRPr="00356AFC" w:rsidRDefault="00907861" w:rsidP="00594811">
            <w:pPr>
              <w:spacing w:after="0" w:line="259" w:lineRule="auto"/>
              <w:ind w:right="57" w:firstLine="0"/>
              <w:rPr>
                <w:b/>
                <w:sz w:val="22"/>
                <w:szCs w:val="22"/>
              </w:rPr>
            </w:pPr>
            <w:r w:rsidRPr="00356AFC">
              <w:rPr>
                <w:b/>
                <w:sz w:val="22"/>
                <w:szCs w:val="22"/>
              </w:rPr>
              <w:t>Наименование закупаемых товаров, работ и услуг</w:t>
            </w:r>
          </w:p>
        </w:tc>
        <w:tc>
          <w:tcPr>
            <w:tcW w:w="1166" w:type="pct"/>
            <w:tcBorders>
              <w:top w:val="single" w:sz="2" w:space="0" w:color="000000"/>
              <w:left w:val="single" w:sz="5" w:space="0" w:color="000000"/>
              <w:bottom w:val="single" w:sz="4" w:space="0" w:color="auto"/>
              <w:right w:val="single" w:sz="5" w:space="0" w:color="000000"/>
            </w:tcBorders>
          </w:tcPr>
          <w:p w14:paraId="5FA72482" w14:textId="50CFEBE3" w:rsidR="00907861" w:rsidRPr="00356AFC" w:rsidRDefault="00907861" w:rsidP="00594811">
            <w:pPr>
              <w:spacing w:after="0" w:line="259" w:lineRule="auto"/>
              <w:ind w:right="57" w:firstLine="0"/>
              <w:rPr>
                <w:sz w:val="22"/>
                <w:szCs w:val="22"/>
              </w:rPr>
            </w:pPr>
            <w:r w:rsidRPr="00356AFC">
              <w:rPr>
                <w:b/>
                <w:sz w:val="22"/>
                <w:szCs w:val="22"/>
              </w:rPr>
              <w:t>Наименование и краткое (дополнительное) описание приобретаемых товаров, работ и услуг</w:t>
            </w:r>
          </w:p>
        </w:tc>
        <w:tc>
          <w:tcPr>
            <w:tcW w:w="534" w:type="pct"/>
            <w:tcBorders>
              <w:top w:val="single" w:sz="2" w:space="0" w:color="000000"/>
              <w:left w:val="single" w:sz="5" w:space="0" w:color="000000"/>
              <w:bottom w:val="single" w:sz="4" w:space="0" w:color="auto"/>
              <w:right w:val="single" w:sz="5" w:space="0" w:color="000000"/>
            </w:tcBorders>
          </w:tcPr>
          <w:p w14:paraId="2A307C53" w14:textId="57DCD184" w:rsidR="00907861" w:rsidRPr="00356AFC" w:rsidRDefault="00907861" w:rsidP="00594811">
            <w:pPr>
              <w:spacing w:after="0" w:line="259" w:lineRule="auto"/>
              <w:ind w:right="57" w:firstLine="0"/>
              <w:rPr>
                <w:sz w:val="22"/>
                <w:szCs w:val="22"/>
              </w:rPr>
            </w:pPr>
            <w:r w:rsidRPr="00356AFC">
              <w:rPr>
                <w:b/>
                <w:sz w:val="22"/>
                <w:szCs w:val="22"/>
              </w:rPr>
              <w:t>Планируемый объем закупа в натуральном выражении</w:t>
            </w:r>
          </w:p>
        </w:tc>
        <w:tc>
          <w:tcPr>
            <w:tcW w:w="509" w:type="pct"/>
            <w:tcBorders>
              <w:top w:val="single" w:sz="2" w:space="0" w:color="000000"/>
              <w:left w:val="single" w:sz="5" w:space="0" w:color="000000"/>
              <w:bottom w:val="single" w:sz="4" w:space="0" w:color="auto"/>
              <w:right w:val="single" w:sz="5" w:space="0" w:color="000000"/>
            </w:tcBorders>
          </w:tcPr>
          <w:p w14:paraId="2FD4150B" w14:textId="788440BA" w:rsidR="00907861" w:rsidRPr="00356AFC" w:rsidRDefault="00907861" w:rsidP="00594811">
            <w:pPr>
              <w:spacing w:after="0" w:line="259" w:lineRule="auto"/>
              <w:ind w:right="57" w:firstLine="0"/>
              <w:rPr>
                <w:sz w:val="22"/>
                <w:szCs w:val="22"/>
              </w:rPr>
            </w:pPr>
            <w:r w:rsidRPr="00356AFC">
              <w:rPr>
                <w:b/>
                <w:sz w:val="22"/>
                <w:szCs w:val="22"/>
              </w:rPr>
              <w:t>Планируемая сумма закупа без учета налога на добавленную стоимость, тенге</w:t>
            </w:r>
          </w:p>
        </w:tc>
        <w:tc>
          <w:tcPr>
            <w:tcW w:w="548" w:type="pct"/>
            <w:tcBorders>
              <w:top w:val="single" w:sz="2" w:space="0" w:color="000000"/>
              <w:left w:val="single" w:sz="5" w:space="0" w:color="000000"/>
              <w:bottom w:val="single" w:sz="4" w:space="0" w:color="auto"/>
              <w:right w:val="single" w:sz="5" w:space="0" w:color="000000"/>
            </w:tcBorders>
          </w:tcPr>
          <w:p w14:paraId="7F42C84B" w14:textId="08A02694" w:rsidR="00907861" w:rsidRPr="00356AFC" w:rsidRDefault="00907861" w:rsidP="00594811">
            <w:pPr>
              <w:spacing w:after="0" w:line="259" w:lineRule="auto"/>
              <w:ind w:right="57" w:firstLine="0"/>
              <w:rPr>
                <w:b/>
                <w:sz w:val="22"/>
                <w:szCs w:val="22"/>
              </w:rPr>
            </w:pPr>
            <w:r w:rsidRPr="00356AFC">
              <w:rPr>
                <w:b/>
                <w:sz w:val="22"/>
                <w:szCs w:val="22"/>
              </w:rPr>
              <w:t>Обеспечение тендерной заявки</w:t>
            </w:r>
          </w:p>
        </w:tc>
      </w:tr>
      <w:tr w:rsidR="00356AFC" w:rsidRPr="00841B34" w14:paraId="66D9C527" w14:textId="4380813D" w:rsidTr="00356AFC">
        <w:trPr>
          <w:trHeight w:val="1261"/>
        </w:trPr>
        <w:tc>
          <w:tcPr>
            <w:tcW w:w="665" w:type="pct"/>
            <w:tcBorders>
              <w:top w:val="single" w:sz="4" w:space="0" w:color="auto"/>
              <w:left w:val="single" w:sz="4" w:space="0" w:color="auto"/>
              <w:bottom w:val="single" w:sz="4" w:space="0" w:color="auto"/>
              <w:right w:val="single" w:sz="4" w:space="0" w:color="auto"/>
            </w:tcBorders>
            <w:vAlign w:val="center"/>
          </w:tcPr>
          <w:p w14:paraId="175A0C06" w14:textId="5567B9F4" w:rsidR="00356AFC" w:rsidRPr="00356AFC" w:rsidRDefault="00356AFC" w:rsidP="00356AFC">
            <w:pPr>
              <w:spacing w:after="0" w:line="259" w:lineRule="auto"/>
              <w:ind w:right="57" w:firstLine="0"/>
              <w:jc w:val="center"/>
              <w:rPr>
                <w:sz w:val="22"/>
                <w:szCs w:val="22"/>
              </w:rPr>
            </w:pPr>
            <w:bookmarkStart w:id="0" w:name="_Hlk188455590"/>
            <w:r w:rsidRPr="00356AFC">
              <w:rPr>
                <w:sz w:val="22"/>
                <w:szCs w:val="22"/>
              </w:rPr>
              <w:t>5224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048BD67B" w:rsidR="00356AFC" w:rsidRPr="00356AFC" w:rsidRDefault="00356AFC" w:rsidP="00356AFC">
            <w:pPr>
              <w:spacing w:after="0" w:line="259" w:lineRule="auto"/>
              <w:ind w:right="57" w:firstLine="0"/>
              <w:jc w:val="center"/>
              <w:rPr>
                <w:sz w:val="22"/>
                <w:szCs w:val="22"/>
              </w:rPr>
            </w:pPr>
            <w:proofErr w:type="gramStart"/>
            <w:r w:rsidRPr="00356AFC">
              <w:rPr>
                <w:sz w:val="22"/>
                <w:szCs w:val="22"/>
                <w:lang w:eastAsia="ru-KZ"/>
                <w14:ligatures w14:val="none"/>
              </w:rPr>
              <w:t>12-1</w:t>
            </w:r>
            <w:proofErr w:type="gramEnd"/>
            <w:r w:rsidRPr="00356AFC">
              <w:rPr>
                <w:sz w:val="22"/>
                <w:szCs w:val="22"/>
                <w:lang w:eastAsia="ru-KZ"/>
                <w14:ligatures w14:val="none"/>
              </w:rPr>
              <w:t xml:space="preserve"> 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0B20AEA0" w:rsidR="00356AFC" w:rsidRPr="00356AFC" w:rsidRDefault="00356AFC" w:rsidP="00356AFC">
            <w:pPr>
              <w:spacing w:after="0" w:line="259" w:lineRule="auto"/>
              <w:ind w:right="57" w:firstLine="0"/>
              <w:rPr>
                <w:sz w:val="22"/>
                <w:szCs w:val="22"/>
              </w:rPr>
            </w:pPr>
            <w:r w:rsidRPr="00356AFC">
              <w:rPr>
                <w:sz w:val="22"/>
                <w:szCs w:val="22"/>
                <w:lang w:eastAsia="ru-KZ"/>
                <w14:ligatures w14:val="none"/>
              </w:rPr>
              <w:t>205952.100.000303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18155EB0" w:rsidR="00356AFC" w:rsidRPr="00356AFC" w:rsidRDefault="00356AFC" w:rsidP="00356AFC">
            <w:pPr>
              <w:spacing w:after="0" w:line="259" w:lineRule="auto"/>
              <w:ind w:right="57" w:firstLine="0"/>
              <w:jc w:val="center"/>
              <w:rPr>
                <w:bCs/>
                <w:sz w:val="22"/>
                <w:szCs w:val="22"/>
              </w:rPr>
            </w:pPr>
            <w:r w:rsidRPr="00356AFC">
              <w:rPr>
                <w:sz w:val="22"/>
                <w:szCs w:val="22"/>
                <w:lang w:eastAsia="ru-KZ"/>
                <w14:ligatures w14:val="none"/>
              </w:rPr>
              <w:t>Реагент</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722594EB" w14:textId="1A63BA1C" w:rsidR="00356AFC" w:rsidRPr="00356AFC" w:rsidRDefault="00356AFC" w:rsidP="00356AFC">
            <w:pPr>
              <w:spacing w:after="0" w:line="259" w:lineRule="auto"/>
              <w:ind w:right="57" w:firstLine="0"/>
              <w:rPr>
                <w:bCs/>
                <w:sz w:val="22"/>
                <w:szCs w:val="22"/>
              </w:rPr>
            </w:pPr>
            <w:proofErr w:type="spellStart"/>
            <w:proofErr w:type="gramStart"/>
            <w:r w:rsidRPr="00356AFC">
              <w:rPr>
                <w:sz w:val="22"/>
                <w:szCs w:val="22"/>
                <w:lang w:eastAsia="ru-KZ"/>
                <w14:ligatures w14:val="none"/>
              </w:rPr>
              <w:t>Характеристика:Реагент</w:t>
            </w:r>
            <w:proofErr w:type="spellEnd"/>
            <w:proofErr w:type="gramEnd"/>
            <w:r w:rsidRPr="00356AFC">
              <w:rPr>
                <w:sz w:val="22"/>
                <w:szCs w:val="22"/>
                <w:lang w:eastAsia="ru-KZ"/>
                <w14:ligatures w14:val="none"/>
              </w:rPr>
              <w:t xml:space="preserve"> растворитель  </w:t>
            </w:r>
            <w:proofErr w:type="spellStart"/>
            <w:r w:rsidRPr="00356AFC">
              <w:rPr>
                <w:sz w:val="22"/>
                <w:szCs w:val="22"/>
                <w:lang w:eastAsia="ru-KZ"/>
                <w14:ligatures w14:val="none"/>
              </w:rPr>
              <w:t>асфальтосмолистого</w:t>
            </w:r>
            <w:proofErr w:type="spellEnd"/>
            <w:r w:rsidRPr="00356AFC">
              <w:rPr>
                <w:sz w:val="22"/>
                <w:szCs w:val="22"/>
                <w:lang w:eastAsia="ru-KZ"/>
                <w14:ligatures w14:val="none"/>
              </w:rPr>
              <w:t xml:space="preserve"> и парафинового отложения</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0B069CB8" w:rsidR="00356AFC" w:rsidRPr="00356AFC" w:rsidRDefault="00356AFC" w:rsidP="00356AFC">
            <w:pPr>
              <w:spacing w:after="0" w:line="259" w:lineRule="auto"/>
              <w:ind w:right="57" w:firstLine="0"/>
              <w:jc w:val="center"/>
              <w:rPr>
                <w:sz w:val="22"/>
                <w:szCs w:val="22"/>
                <w:lang w:val="kk-KZ"/>
              </w:rPr>
            </w:pPr>
            <w:r w:rsidRPr="00356AFC">
              <w:rPr>
                <w:sz w:val="22"/>
                <w:szCs w:val="22"/>
                <w:lang w:eastAsia="ru-KZ"/>
                <w14:ligatures w14:val="none"/>
              </w:rPr>
              <w:t>8,0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6121BDF5" w:rsidR="00356AFC" w:rsidRPr="00356AFC" w:rsidRDefault="00356AFC" w:rsidP="00356AFC">
            <w:pPr>
              <w:spacing w:after="0" w:line="259" w:lineRule="auto"/>
              <w:ind w:right="57" w:firstLine="0"/>
              <w:jc w:val="center"/>
              <w:rPr>
                <w:sz w:val="22"/>
                <w:szCs w:val="22"/>
                <w:lang w:val="kk-KZ"/>
              </w:rPr>
            </w:pPr>
            <w:r w:rsidRPr="00356AFC">
              <w:rPr>
                <w:sz w:val="22"/>
                <w:szCs w:val="22"/>
                <w:lang w:eastAsia="ru-KZ"/>
                <w14:ligatures w14:val="none"/>
              </w:rPr>
              <w:t>14 287 104,00</w:t>
            </w:r>
          </w:p>
        </w:tc>
        <w:tc>
          <w:tcPr>
            <w:tcW w:w="548" w:type="pct"/>
            <w:tcBorders>
              <w:top w:val="single" w:sz="4" w:space="0" w:color="auto"/>
              <w:left w:val="single" w:sz="4" w:space="0" w:color="auto"/>
              <w:bottom w:val="single" w:sz="4" w:space="0" w:color="auto"/>
              <w:right w:val="single" w:sz="4" w:space="0" w:color="auto"/>
            </w:tcBorders>
          </w:tcPr>
          <w:p w14:paraId="7AEF1718" w14:textId="3C63C469" w:rsidR="00356AFC" w:rsidRPr="00356AFC" w:rsidRDefault="00356AFC" w:rsidP="00356AFC">
            <w:pPr>
              <w:spacing w:after="0" w:line="259" w:lineRule="auto"/>
              <w:ind w:right="57" w:firstLine="0"/>
              <w:rPr>
                <w:sz w:val="22"/>
                <w:szCs w:val="22"/>
              </w:rPr>
            </w:pPr>
            <w:r w:rsidRPr="00356AFC">
              <w:rPr>
                <w:sz w:val="22"/>
                <w:szCs w:val="22"/>
              </w:rPr>
              <w:t>1% от планируемой суммы закупка без учета налога на добавленную стоимость, тенге</w:t>
            </w:r>
          </w:p>
        </w:tc>
      </w:tr>
    </w:tbl>
    <w:bookmarkEnd w:id="0"/>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7323E3B7" w14:textId="2D105EB4" w:rsidR="00803A8B" w:rsidRPr="00841B34" w:rsidRDefault="00F97327" w:rsidP="00356AFC">
      <w:pPr>
        <w:spacing w:after="0" w:line="259" w:lineRule="auto"/>
        <w:ind w:right="57" w:firstLine="0"/>
        <w:rPr>
          <w:sz w:val="22"/>
          <w:szCs w:val="22"/>
        </w:rPr>
      </w:pPr>
      <w:r w:rsidRPr="00841B34">
        <w:rPr>
          <w:sz w:val="22"/>
          <w:szCs w:val="22"/>
        </w:rPr>
        <w:t xml:space="preserve"> 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w:t>
      </w:r>
      <w:proofErr w:type="spellStart"/>
      <w:r w:rsidR="00EC7EEC" w:rsidRPr="00841B34">
        <w:rPr>
          <w:sz w:val="22"/>
          <w:szCs w:val="22"/>
        </w:rPr>
        <w:t>Урихтау</w:t>
      </w:r>
      <w:proofErr w:type="spellEnd"/>
      <w:r w:rsidR="00EC7EEC" w:rsidRPr="00841B34">
        <w:rPr>
          <w:sz w:val="22"/>
          <w:szCs w:val="22"/>
        </w:rPr>
        <w:t xml:space="preserve">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1DC5A7FF" w14:textId="77777777" w:rsidR="00E03BAA" w:rsidRPr="00841B34" w:rsidRDefault="00E03BAA" w:rsidP="00594811">
      <w:pPr>
        <w:spacing w:after="0" w:line="259" w:lineRule="auto"/>
        <w:ind w:right="57" w:firstLine="0"/>
        <w:rPr>
          <w:b/>
          <w:sz w:val="22"/>
          <w:szCs w:val="22"/>
        </w:rPr>
      </w:pPr>
    </w:p>
    <w:p w14:paraId="331A0757" w14:textId="18D5B685" w:rsidR="00E03BAA" w:rsidRPr="00841B34" w:rsidRDefault="00E03BAA" w:rsidP="00A3198D">
      <w:pPr>
        <w:spacing w:after="0" w:line="259" w:lineRule="auto"/>
        <w:ind w:right="57" w:firstLine="0"/>
        <w:rPr>
          <w:b/>
          <w:sz w:val="22"/>
          <w:szCs w:val="22"/>
        </w:rPr>
      </w:pPr>
      <w:r w:rsidRPr="00841B34">
        <w:rPr>
          <w:b/>
          <w:sz w:val="22"/>
          <w:szCs w:val="22"/>
        </w:rPr>
        <w:t>3.</w:t>
      </w:r>
      <w:r w:rsidR="00A3198D">
        <w:rPr>
          <w:b/>
          <w:sz w:val="22"/>
          <w:szCs w:val="22"/>
          <w:lang w:val="kk-KZ"/>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DBA079" w:rsidR="00841B34" w:rsidRDefault="00E03BAA" w:rsidP="00594811">
      <w:pPr>
        <w:spacing w:after="0" w:line="259" w:lineRule="auto"/>
        <w:ind w:right="57" w:firstLine="0"/>
        <w:rPr>
          <w:bCs/>
          <w:sz w:val="22"/>
          <w:szCs w:val="22"/>
        </w:rPr>
      </w:pPr>
      <w:r w:rsidRPr="00841B34">
        <w:rPr>
          <w:bCs/>
          <w:sz w:val="22"/>
          <w:szCs w:val="22"/>
        </w:rPr>
        <w:t>3.</w:t>
      </w:r>
      <w:r w:rsidR="00A3198D">
        <w:rPr>
          <w:bCs/>
          <w:sz w:val="22"/>
          <w:szCs w:val="22"/>
          <w:lang w:val="kk-KZ"/>
        </w:rPr>
        <w:t>1</w:t>
      </w:r>
      <w:r w:rsidRPr="00841B34">
        <w:rPr>
          <w:bCs/>
          <w:sz w:val="22"/>
          <w:szCs w:val="22"/>
        </w:rPr>
        <w:t>.</w:t>
      </w:r>
      <w:r w:rsidR="00E46DBF">
        <w:rPr>
          <w:bCs/>
          <w:sz w:val="22"/>
          <w:szCs w:val="22"/>
          <w:lang w:val="kk-KZ"/>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C20B" w14:textId="77777777" w:rsidR="00BF5331" w:rsidRDefault="00BF5331">
      <w:pPr>
        <w:spacing w:after="0" w:line="240" w:lineRule="auto"/>
      </w:pPr>
      <w:r>
        <w:separator/>
      </w:r>
    </w:p>
  </w:endnote>
  <w:endnote w:type="continuationSeparator" w:id="0">
    <w:p w14:paraId="2FF0E02D" w14:textId="77777777" w:rsidR="00BF5331" w:rsidRDefault="00BF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ADB4" w14:textId="77777777" w:rsidR="00BF5331" w:rsidRDefault="00BF5331">
      <w:pPr>
        <w:spacing w:after="0" w:line="240" w:lineRule="auto"/>
      </w:pPr>
      <w:r>
        <w:separator/>
      </w:r>
    </w:p>
  </w:footnote>
  <w:footnote w:type="continuationSeparator" w:id="0">
    <w:p w14:paraId="34B84434" w14:textId="77777777" w:rsidR="00BF5331" w:rsidRDefault="00BF5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A23CA"/>
    <w:rsid w:val="000B4773"/>
    <w:rsid w:val="000C274F"/>
    <w:rsid w:val="000C78C8"/>
    <w:rsid w:val="000E10FB"/>
    <w:rsid w:val="000E67BF"/>
    <w:rsid w:val="00112AFE"/>
    <w:rsid w:val="0013542A"/>
    <w:rsid w:val="00185DA8"/>
    <w:rsid w:val="00193A4F"/>
    <w:rsid w:val="00197B6C"/>
    <w:rsid w:val="001A0505"/>
    <w:rsid w:val="001F753B"/>
    <w:rsid w:val="00223F2A"/>
    <w:rsid w:val="002252AE"/>
    <w:rsid w:val="002372AE"/>
    <w:rsid w:val="00257B0C"/>
    <w:rsid w:val="00290424"/>
    <w:rsid w:val="002A5F37"/>
    <w:rsid w:val="002F43CC"/>
    <w:rsid w:val="00312853"/>
    <w:rsid w:val="00347A68"/>
    <w:rsid w:val="00356AFC"/>
    <w:rsid w:val="003C7257"/>
    <w:rsid w:val="003D1AA9"/>
    <w:rsid w:val="003D4B28"/>
    <w:rsid w:val="00423A30"/>
    <w:rsid w:val="0043756A"/>
    <w:rsid w:val="00437A92"/>
    <w:rsid w:val="00492765"/>
    <w:rsid w:val="004A0375"/>
    <w:rsid w:val="004B56FA"/>
    <w:rsid w:val="004C400F"/>
    <w:rsid w:val="004C5585"/>
    <w:rsid w:val="00502FDB"/>
    <w:rsid w:val="00510C37"/>
    <w:rsid w:val="005152EF"/>
    <w:rsid w:val="00515953"/>
    <w:rsid w:val="00547B7D"/>
    <w:rsid w:val="00557D42"/>
    <w:rsid w:val="00594811"/>
    <w:rsid w:val="005B2FF9"/>
    <w:rsid w:val="005C3057"/>
    <w:rsid w:val="005C533C"/>
    <w:rsid w:val="006517FE"/>
    <w:rsid w:val="00666443"/>
    <w:rsid w:val="006804E2"/>
    <w:rsid w:val="006B2071"/>
    <w:rsid w:val="006C4F43"/>
    <w:rsid w:val="006F402C"/>
    <w:rsid w:val="0071055D"/>
    <w:rsid w:val="007159E6"/>
    <w:rsid w:val="00723CF0"/>
    <w:rsid w:val="0076523D"/>
    <w:rsid w:val="00791DA6"/>
    <w:rsid w:val="007B64ED"/>
    <w:rsid w:val="007E183C"/>
    <w:rsid w:val="00802661"/>
    <w:rsid w:val="00803A8B"/>
    <w:rsid w:val="008073A7"/>
    <w:rsid w:val="00835FD8"/>
    <w:rsid w:val="00841B34"/>
    <w:rsid w:val="00873917"/>
    <w:rsid w:val="00882322"/>
    <w:rsid w:val="008B0C1D"/>
    <w:rsid w:val="008B616A"/>
    <w:rsid w:val="008C017B"/>
    <w:rsid w:val="008E0F16"/>
    <w:rsid w:val="00906912"/>
    <w:rsid w:val="00907861"/>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B65BB"/>
    <w:rsid w:val="00AD5136"/>
    <w:rsid w:val="00AF099F"/>
    <w:rsid w:val="00AF0EFC"/>
    <w:rsid w:val="00B043FA"/>
    <w:rsid w:val="00B17082"/>
    <w:rsid w:val="00B60097"/>
    <w:rsid w:val="00B75803"/>
    <w:rsid w:val="00B76626"/>
    <w:rsid w:val="00BD6D75"/>
    <w:rsid w:val="00BE08FF"/>
    <w:rsid w:val="00BE418A"/>
    <w:rsid w:val="00BE75E8"/>
    <w:rsid w:val="00BF033A"/>
    <w:rsid w:val="00BF46D4"/>
    <w:rsid w:val="00BF5331"/>
    <w:rsid w:val="00C10173"/>
    <w:rsid w:val="00C82FDB"/>
    <w:rsid w:val="00CC2196"/>
    <w:rsid w:val="00D12743"/>
    <w:rsid w:val="00D313B0"/>
    <w:rsid w:val="00D441C4"/>
    <w:rsid w:val="00D7668B"/>
    <w:rsid w:val="00D8707C"/>
    <w:rsid w:val="00DD4A69"/>
    <w:rsid w:val="00DE6E50"/>
    <w:rsid w:val="00E03BAA"/>
    <w:rsid w:val="00E20420"/>
    <w:rsid w:val="00E46DBF"/>
    <w:rsid w:val="00E62D5F"/>
    <w:rsid w:val="00E65FC4"/>
    <w:rsid w:val="00E830E7"/>
    <w:rsid w:val="00EC7EEC"/>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94087867">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4163</Words>
  <Characters>23732</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1. Общие положения</vt:lpstr>
      <vt:lpstr>2. Описание и требуемые функциональные, технические, качественные и эксплуатацио</vt:lpstr>
      <vt:lpstr>4. Представление тендерных заявок и коммерческого предложения на участие в тенде</vt:lpstr>
      <vt:lpstr/>
      <vt:lpstr>5. Содержание заявок на участие в тендере</vt:lpstr>
      <vt:lpstr/>
      <vt:lpstr>6. Требования к языку составления и представления тендерных заявок</vt:lpstr>
      <vt:lpstr>7. Требования к содержанию и валюте ценового предложения</vt:lpstr>
      <vt:lpstr>8. Условия внесения, содержание и виды обеспечения тендерной заявки</vt:lpstr>
      <vt:lpstr>9. Изменение тендерных заявок и их отзыв</vt:lpstr>
      <vt:lpstr>11. Порядок рассмотрения, оценки и сопоставления заявок на участие в тендере</vt:lpstr>
      <vt:lpstr>12. Подведение итогов</vt:lpstr>
      <vt:lpstr>12.1 Итоги закупок способом открытого тендера оформляются протоколом итогов, кот</vt:lpstr>
      <vt:lpstr>12.2. После получения тендерной заявки от потенциальных поставщиков Тендерная ко</vt:lpstr>
      <vt:lpstr>12.3 Определение победителя тендера, а также потенциального поставщика, занявшег</vt:lpstr>
      <vt:lpstr/>
      <vt:lpstr>13. Порядок заключения договора о закупках по итогам тендера</vt:lpstr>
      <vt:lpstr>14. Условия, виды, объем и способ внесения обеспечения исполнения договора</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2025-02-04T11:55:00Z</dcterms:created>
  <dcterms:modified xsi:type="dcterms:W3CDTF">2025-02-04T11:55:00Z</dcterms:modified>
</cp:coreProperties>
</file>