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794E" w14:textId="77777777" w:rsidR="005F64EE" w:rsidRPr="00706303" w:rsidRDefault="005F64EE" w:rsidP="005F64EE">
      <w:pPr>
        <w:jc w:val="right"/>
        <w:rPr>
          <w:rFonts w:ascii="Times New Roman" w:hAnsi="Times New Roman" w:cs="Times New Roman"/>
          <w:b/>
          <w:bCs/>
        </w:rPr>
      </w:pPr>
      <w:r w:rsidRPr="00706303">
        <w:rPr>
          <w:rFonts w:ascii="Times New Roman" w:hAnsi="Times New Roman" w:cs="Times New Roman"/>
          <w:b/>
          <w:bCs/>
        </w:rPr>
        <w:t>«__» ________ 202__ ж.</w:t>
      </w:r>
    </w:p>
    <w:p w14:paraId="666095F3" w14:textId="77777777" w:rsidR="005F64EE" w:rsidRPr="00706303" w:rsidRDefault="005F64EE" w:rsidP="005F64EE">
      <w:pPr>
        <w:jc w:val="right"/>
        <w:rPr>
          <w:rFonts w:ascii="Times New Roman" w:hAnsi="Times New Roman" w:cs="Times New Roman"/>
          <w:b/>
          <w:bCs/>
        </w:rPr>
      </w:pPr>
      <w:r w:rsidRPr="00706303">
        <w:rPr>
          <w:rFonts w:ascii="Times New Roman" w:hAnsi="Times New Roman" w:cs="Times New Roman"/>
          <w:b/>
          <w:bCs/>
        </w:rPr>
        <w:t>№___ шартқа</w:t>
      </w:r>
    </w:p>
    <w:p w14:paraId="22658BC8" w14:textId="77777777" w:rsidR="005F64EE" w:rsidRPr="00706303" w:rsidRDefault="005F64EE" w:rsidP="005F64EE">
      <w:pPr>
        <w:jc w:val="right"/>
        <w:rPr>
          <w:rFonts w:ascii="Times New Roman" w:hAnsi="Times New Roman" w:cs="Times New Roman"/>
          <w:b/>
          <w:bCs/>
          <w:lang w:val="ru-RU"/>
        </w:rPr>
      </w:pPr>
      <w:r>
        <w:rPr>
          <w:rFonts w:ascii="Times New Roman" w:hAnsi="Times New Roman" w:cs="Times New Roman"/>
          <w:b/>
          <w:bCs/>
        </w:rPr>
        <w:t>қ</w:t>
      </w:r>
      <w:r w:rsidRPr="00706303">
        <w:rPr>
          <w:rFonts w:ascii="Times New Roman" w:hAnsi="Times New Roman" w:cs="Times New Roman"/>
          <w:b/>
          <w:bCs/>
        </w:rPr>
        <w:t>осымша №</w:t>
      </w:r>
      <w:r>
        <w:rPr>
          <w:rFonts w:ascii="Times New Roman" w:hAnsi="Times New Roman" w:cs="Times New Roman"/>
          <w:b/>
          <w:bCs/>
          <w:lang w:val="ru-RU"/>
        </w:rPr>
        <w:t>2</w:t>
      </w:r>
    </w:p>
    <w:p w14:paraId="7008096C" w14:textId="77777777" w:rsidR="005F64EE" w:rsidRDefault="005F64EE" w:rsidP="001F5104">
      <w:pPr>
        <w:jc w:val="center"/>
        <w:rPr>
          <w:rFonts w:ascii="Times New Roman" w:hAnsi="Times New Roman" w:cs="Times New Roman"/>
          <w:b/>
          <w:bCs/>
          <w:lang w:val="ru-RU"/>
        </w:rPr>
      </w:pPr>
    </w:p>
    <w:p w14:paraId="7D1683AA" w14:textId="07D0CAFD" w:rsidR="007309DE" w:rsidRPr="00BF4455" w:rsidRDefault="00AC0489" w:rsidP="001F5104">
      <w:pPr>
        <w:jc w:val="center"/>
        <w:rPr>
          <w:rFonts w:ascii="Times New Roman" w:hAnsi="Times New Roman" w:cs="Times New Roman"/>
          <w:b/>
          <w:bCs/>
        </w:rPr>
      </w:pPr>
      <w:proofErr w:type="spellStart"/>
      <w:r w:rsidRPr="00BF4455">
        <w:rPr>
          <w:rFonts w:ascii="Times New Roman" w:hAnsi="Times New Roman" w:cs="Times New Roman"/>
          <w:b/>
          <w:bCs/>
          <w:lang w:val="ru-RU"/>
        </w:rPr>
        <w:t>Ө</w:t>
      </w:r>
      <w:r w:rsidR="001F5104" w:rsidRPr="00BF4455">
        <w:rPr>
          <w:rFonts w:ascii="Times New Roman" w:hAnsi="Times New Roman" w:cs="Times New Roman"/>
          <w:b/>
          <w:bCs/>
          <w:lang w:val="ru-RU"/>
        </w:rPr>
        <w:t>лшем</w:t>
      </w:r>
      <w:proofErr w:type="spellEnd"/>
      <w:r w:rsidR="001F5104" w:rsidRPr="00BF4455">
        <w:rPr>
          <w:rFonts w:ascii="Times New Roman" w:hAnsi="Times New Roman" w:cs="Times New Roman"/>
          <w:b/>
          <w:bCs/>
          <w:lang w:val="ru-RU"/>
        </w:rPr>
        <w:t xml:space="preserve"> </w:t>
      </w:r>
      <w:proofErr w:type="spellStart"/>
      <w:r w:rsidR="001F5104" w:rsidRPr="00BF4455">
        <w:rPr>
          <w:rFonts w:ascii="Times New Roman" w:hAnsi="Times New Roman" w:cs="Times New Roman"/>
          <w:b/>
          <w:bCs/>
          <w:lang w:val="ru-RU"/>
        </w:rPr>
        <w:t>құралдарын</w:t>
      </w:r>
      <w:proofErr w:type="spellEnd"/>
      <w:r w:rsidR="001F5104" w:rsidRPr="00BF4455">
        <w:rPr>
          <w:rFonts w:ascii="Times New Roman" w:hAnsi="Times New Roman" w:cs="Times New Roman"/>
          <w:b/>
          <w:bCs/>
          <w:lang w:val="ru-RU"/>
        </w:rPr>
        <w:t xml:space="preserve"> </w:t>
      </w:r>
      <w:proofErr w:type="spellStart"/>
      <w:r w:rsidR="001F5104" w:rsidRPr="00BF4455">
        <w:rPr>
          <w:rFonts w:ascii="Times New Roman" w:hAnsi="Times New Roman" w:cs="Times New Roman"/>
          <w:b/>
          <w:bCs/>
          <w:lang w:val="ru-RU"/>
        </w:rPr>
        <w:t>салыстырып</w:t>
      </w:r>
      <w:proofErr w:type="spellEnd"/>
      <w:r w:rsidR="001F5104" w:rsidRPr="00BF4455">
        <w:rPr>
          <w:rFonts w:ascii="Times New Roman" w:hAnsi="Times New Roman" w:cs="Times New Roman"/>
          <w:b/>
          <w:bCs/>
          <w:lang w:val="ru-RU"/>
        </w:rPr>
        <w:t xml:space="preserve"> </w:t>
      </w:r>
      <w:proofErr w:type="spellStart"/>
      <w:r w:rsidR="001F5104" w:rsidRPr="00BF4455">
        <w:rPr>
          <w:rFonts w:ascii="Times New Roman" w:hAnsi="Times New Roman" w:cs="Times New Roman"/>
          <w:b/>
          <w:bCs/>
          <w:lang w:val="ru-RU"/>
        </w:rPr>
        <w:t>тексеру</w:t>
      </w:r>
      <w:proofErr w:type="spellEnd"/>
      <w:r w:rsidRPr="00BF4455">
        <w:rPr>
          <w:rFonts w:ascii="Times New Roman" w:hAnsi="Times New Roman" w:cs="Times New Roman"/>
          <w:b/>
          <w:bCs/>
          <w:lang w:val="ru-RU"/>
        </w:rPr>
        <w:t xml:space="preserve"> </w:t>
      </w:r>
      <w:r w:rsidRPr="00BF4455">
        <w:rPr>
          <w:rFonts w:ascii="Times New Roman" w:hAnsi="Times New Roman" w:cs="Times New Roman"/>
          <w:b/>
          <w:bCs/>
        </w:rPr>
        <w:t>қызметтері бойынша</w:t>
      </w:r>
    </w:p>
    <w:p w14:paraId="4361A3BA" w14:textId="1E523E56" w:rsidR="00AC0489" w:rsidRPr="00BF4455" w:rsidRDefault="00AC0489" w:rsidP="00AC0489">
      <w:pPr>
        <w:jc w:val="center"/>
        <w:rPr>
          <w:rFonts w:ascii="Times New Roman" w:hAnsi="Times New Roman" w:cs="Times New Roman"/>
          <w:b/>
          <w:bCs/>
        </w:rPr>
      </w:pPr>
      <w:r w:rsidRPr="00BF4455">
        <w:rPr>
          <w:rFonts w:ascii="Times New Roman" w:hAnsi="Times New Roman" w:cs="Times New Roman"/>
          <w:b/>
          <w:bCs/>
        </w:rPr>
        <w:t>Техникалық сипаттама</w:t>
      </w:r>
    </w:p>
    <w:p w14:paraId="0A4CAE46" w14:textId="77777777" w:rsidR="007309DE" w:rsidRPr="00BF4455" w:rsidRDefault="007309DE" w:rsidP="007309DE">
      <w:pPr>
        <w:rPr>
          <w:rFonts w:ascii="Times New Roman" w:hAnsi="Times New Roman" w:cs="Times New Roman"/>
        </w:rPr>
      </w:pPr>
    </w:p>
    <w:p w14:paraId="119A26D2" w14:textId="1259CE26" w:rsidR="00674DDB" w:rsidRPr="00BF4455" w:rsidRDefault="001F5104" w:rsidP="00BD41AA">
      <w:pPr>
        <w:jc w:val="both"/>
        <w:rPr>
          <w:rFonts w:ascii="Times New Roman" w:hAnsi="Times New Roman" w:cs="Times New Roman"/>
          <w:b/>
          <w:bCs/>
        </w:rPr>
      </w:pPr>
      <w:r w:rsidRPr="00BF4455">
        <w:rPr>
          <w:rFonts w:ascii="Times New Roman" w:hAnsi="Times New Roman" w:cs="Times New Roman"/>
          <w:b/>
          <w:bCs/>
        </w:rPr>
        <w:t xml:space="preserve">1. </w:t>
      </w:r>
      <w:r w:rsidR="00674DDB" w:rsidRPr="00BF4455">
        <w:rPr>
          <w:rFonts w:ascii="Times New Roman" w:hAnsi="Times New Roman" w:cs="Times New Roman"/>
          <w:b/>
          <w:bCs/>
        </w:rPr>
        <w:t>Кіріспе.</w:t>
      </w:r>
    </w:p>
    <w:p w14:paraId="05275DA4" w14:textId="77777777" w:rsidR="003D0427" w:rsidRPr="00BF4455" w:rsidRDefault="003D0427" w:rsidP="003D0427">
      <w:pPr>
        <w:ind w:firstLine="720"/>
        <w:jc w:val="both"/>
        <w:rPr>
          <w:rFonts w:ascii="Times New Roman" w:hAnsi="Times New Roman" w:cs="Times New Roman"/>
        </w:rPr>
      </w:pPr>
      <w:r w:rsidRPr="00BF4455">
        <w:rPr>
          <w:rFonts w:ascii="Times New Roman" w:hAnsi="Times New Roman" w:cs="Times New Roman"/>
        </w:rPr>
        <w:t>Осы Техникалық ерекшелік Шарттың ажырамас бөлігі болып табылады және өлшеу құралдарын тексеруге байланысты барлық мәселелерді реттейді.</w:t>
      </w:r>
    </w:p>
    <w:p w14:paraId="00AEA400" w14:textId="413B9D3F" w:rsidR="003D0427" w:rsidRPr="00BF4455" w:rsidRDefault="001271F3" w:rsidP="003D0427">
      <w:pPr>
        <w:jc w:val="both"/>
        <w:rPr>
          <w:rFonts w:ascii="Times New Roman" w:hAnsi="Times New Roman" w:cs="Times New Roman"/>
        </w:rPr>
      </w:pPr>
      <w:r w:rsidRPr="00BF4455">
        <w:rPr>
          <w:rFonts w:ascii="Times New Roman" w:hAnsi="Times New Roman" w:cs="Times New Roman"/>
        </w:rPr>
        <w:t xml:space="preserve">Шығыс </w:t>
      </w:r>
      <w:r w:rsidR="003D0427" w:rsidRPr="00BF4455">
        <w:rPr>
          <w:rFonts w:ascii="Times New Roman" w:hAnsi="Times New Roman" w:cs="Times New Roman"/>
        </w:rPr>
        <w:t>Өріктау кен орны Ақтөбе облысының Мұғалжар ауданында, Ақтөбе қаласынан оңтүстікке қарай 215 км жерде (Жаңажол кен орнының жанында) орналасқан.</w:t>
      </w:r>
      <w:r w:rsidR="000A43B5">
        <w:rPr>
          <w:rFonts w:ascii="Times New Roman" w:hAnsi="Times New Roman" w:cs="Times New Roman"/>
        </w:rPr>
        <w:t xml:space="preserve"> </w:t>
      </w:r>
      <w:r w:rsidR="003D0427" w:rsidRPr="00BF4455">
        <w:rPr>
          <w:rFonts w:ascii="Times New Roman" w:hAnsi="Times New Roman" w:cs="Times New Roman"/>
        </w:rPr>
        <w:t xml:space="preserve">Өлшеу құралдары үшеуінде орналасқан </w:t>
      </w:r>
      <w:r w:rsidRPr="00BF4455">
        <w:rPr>
          <w:rFonts w:ascii="Times New Roman" w:hAnsi="Times New Roman" w:cs="Times New Roman"/>
        </w:rPr>
        <w:t xml:space="preserve">Шығыс </w:t>
      </w:r>
      <w:r w:rsidR="003D0427" w:rsidRPr="00BF4455">
        <w:rPr>
          <w:rFonts w:ascii="Times New Roman" w:hAnsi="Times New Roman" w:cs="Times New Roman"/>
        </w:rPr>
        <w:t>Өріктау, Әлібекмола және Қожасай кен орындары.</w:t>
      </w:r>
    </w:p>
    <w:p w14:paraId="284BE38D" w14:textId="46D64A9F" w:rsidR="001F5104" w:rsidRPr="00BF4455" w:rsidRDefault="003D0427" w:rsidP="003D0427">
      <w:pPr>
        <w:ind w:firstLine="720"/>
        <w:jc w:val="both"/>
        <w:rPr>
          <w:rFonts w:ascii="Times New Roman" w:hAnsi="Times New Roman" w:cs="Times New Roman"/>
        </w:rPr>
      </w:pPr>
      <w:r w:rsidRPr="00BF4455">
        <w:rPr>
          <w:rFonts w:ascii="Times New Roman" w:hAnsi="Times New Roman" w:cs="Times New Roman"/>
        </w:rPr>
        <w:t>Өлшеу құралдарын тексеру/калибрлеу бойынша қызметтер көрсету үшін ГОСТ ISO/IEC 17025-2019 "сынақ және калибрлеу зертханаларының құзыреттілігіне қойылатын жалпы талаптар"талаптарына сәйкес өлшеу құралдарын тексеру және калибрлеу құқығына уәкілетті орган аккредиттеген мамандандырылған ұйым тартылады.</w:t>
      </w:r>
    </w:p>
    <w:p w14:paraId="746B2888" w14:textId="77777777" w:rsidR="003D0427" w:rsidRPr="00BF4455" w:rsidRDefault="003D0427" w:rsidP="003D0427">
      <w:pPr>
        <w:ind w:firstLine="720"/>
        <w:jc w:val="both"/>
        <w:rPr>
          <w:rFonts w:ascii="Times New Roman" w:hAnsi="Times New Roman" w:cs="Times New Roman"/>
        </w:rPr>
      </w:pPr>
    </w:p>
    <w:p w14:paraId="0A89E086" w14:textId="4E297A76" w:rsidR="001F5104" w:rsidRPr="00BF4455" w:rsidRDefault="001F5104" w:rsidP="001F5104">
      <w:pPr>
        <w:jc w:val="both"/>
        <w:rPr>
          <w:rFonts w:ascii="Times New Roman" w:hAnsi="Times New Roman" w:cs="Times New Roman"/>
          <w:b/>
          <w:bCs/>
        </w:rPr>
      </w:pPr>
      <w:r w:rsidRPr="00BF4455">
        <w:rPr>
          <w:rFonts w:ascii="Times New Roman" w:hAnsi="Times New Roman" w:cs="Times New Roman"/>
          <w:b/>
          <w:bCs/>
        </w:rPr>
        <w:t xml:space="preserve">2. Орындаушы міндетті: </w:t>
      </w:r>
    </w:p>
    <w:p w14:paraId="40BC8A6D"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 xml:space="preserve">2.1. Өлшеу құралдарын тексеру/калибрлеу және тексеру/калибрлеу нәтижелерін ресімдеу жөніндегі іс-шараларды "өлшем бірлігін қамтамасыз ету туралы" ҚР 07.06.2000 ж. №53-11 Заңына, "сәйкестікті бағалау саласындағы аккредиттеу туралы" 2008 жылғы 5 шілдедегі N 61-IV Заңына, ҚР СТ 2.4-2019 "ҚР МӨЖ. Өлшеу құралдарын тексеру. Ұйымдастыру және өткізу тәртібі " және қолданыстағы нормативтік-техникалық құжаттаманың өзге де талаптары (ҚР СТ, ГОСТ, тексеру қағидалары, кестелері, тексеру және калибрлеу әдістемелері). </w:t>
      </w:r>
    </w:p>
    <w:p w14:paraId="1C17417B"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 xml:space="preserve">2.2. Тапсырыс берушінің шалғайдағы объектілерін қоса алғанда, өлшеу құралдарын пайдалану орны бойынша өлшеу құралдарын тексеру/калибрлеуді орындау. Мұндай объектілердің аумақтық орналасуын ескере отырып, Орындаушы Тапсырыс берушінің әртүрлі объектілерінде бір мезгілде қызмет көрсету үшін адам, материалдық және қаржы ресурстарында қажетті және жеткілікті әлеуетке ие болуға тиіс. </w:t>
      </w:r>
    </w:p>
    <w:p w14:paraId="4337C2E8"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2.3. Өлшеу құралдарын тексеру кестесін әзірлеу және оны Тапсырыс берушімен келісу.</w:t>
      </w:r>
    </w:p>
    <w:p w14:paraId="4D3D1319"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 xml:space="preserve">2.4. Өлшеу құралдарын өлшеу құралдарын тексеру кестесінде белгіленген мерзімдерде тексеруді және қажет болған жағдайда параметрлер бойынша баптауды, түзетуді, ал қажет болған жағдайда ҚР қолданыстағы стандарттарының талаптарына сәйкес, сондай-ақ қағидалар, нұсқаулықтар мен әдістемелер негізінде СИ калибрлеуді орындауды орындау. </w:t>
      </w:r>
    </w:p>
    <w:p w14:paraId="3B129799"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2.5. Тапсырыс беруші ай сайын Орындаушының атына тексеруге/калибрлеуге жататын өлшеу құралдарының тізбесін және осы өтінімді орындаудың нақты мерзімдерін көрсете отырып, жазбаша өтінім жібереді. Орындаушы 3 (үш) күнтізбелік күн ішінде өз мамандарын Тапсырыс берушінің объектілеріне жіберуге міндетті. Бұл ретте, Орындаушының жылжымалы тексеру зертханасында/көшпелі бригадасында аттестатталған салыстырып тексерушілер болуы, тексеруге / калибрлеуге жататын өлшеу құралдарының номенклатурасына сәйкес жұмыс эталондарымен және қолданыстағы калибрлеу сертификаттары бар өлшеу құралдарымен жинақталуы тиіс.</w:t>
      </w:r>
    </w:p>
    <w:p w14:paraId="534EA98A"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2.6.</w:t>
      </w:r>
      <w:r w:rsidRPr="00BF4455">
        <w:rPr>
          <w:rFonts w:ascii="Times New Roman" w:hAnsi="Times New Roman" w:cs="Times New Roman"/>
        </w:rPr>
        <w:tab/>
        <w:t>Қажет болған жағдайда және Тапсырыс берушінің келісімі бойынша Орындаушының зертханасында өлшеу құралдарын тексеру/калибрлеу жүргізуге болады. Бұл ретте өлшеу құралдарын Тапсырыс берушіден тексеру/калибрлеу жүргізілетін орындарға (Орындаушының зертханасына) жеткізу Орындаушының өз күштері мен қаражаты есебінен жүзеге асырылсын.</w:t>
      </w:r>
    </w:p>
    <w:p w14:paraId="0BCAEEA0"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 xml:space="preserve">2.7. Өлшем құралдарының баланстық құны мөлшерінде Орындаушының тексерудегі/калибрлеудегі өлшеу құралдарын қабылдағаны, сақтағаны және пайдаланғаны </w:t>
      </w:r>
      <w:r w:rsidRPr="00BF4455">
        <w:rPr>
          <w:rFonts w:ascii="Times New Roman" w:hAnsi="Times New Roman" w:cs="Times New Roman"/>
        </w:rPr>
        <w:lastRenderedPageBreak/>
        <w:t>үшін материалдық жауаптылықта болуға тиіс.</w:t>
      </w:r>
    </w:p>
    <w:p w14:paraId="03311B4A"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2.8. Тапсырыс берушінің объектілерінде өз мамандарының болуы бойынша барлық шығыстарды, соның ішінде көлік шығындарын және тұру және тамақтану шығындарын көтеріңіз.</w:t>
      </w:r>
    </w:p>
    <w:p w14:paraId="0DF08AFA"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2.9. Тексеру нәтижелерін ҚР қолданыстағы стандарттарының талаптарына, тексеру әдістемесіне сәйкес МЕМСТ ISO/IEC 17025-2019 "сынақ және калибрлеу құзыреттілігіне қойылатын жалпы талаптар" талаптарын ескере отырып ресімдеу</w:t>
      </w:r>
    </w:p>
    <w:p w14:paraId="601048ED"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зертханалар":</w:t>
      </w:r>
    </w:p>
    <w:p w14:paraId="6BCA8E1A"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 СИ тексеру/калибрлеу хаттамасын жасау;</w:t>
      </w:r>
    </w:p>
    <w:p w14:paraId="54BA6BC3"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 тексерудің оң нәтижелерін куәландыратын бедерлерді, салыстырып тексеру таңбаларын, өздігінен жабысатын жапсырмаларды, пластикалық пломбаларды салу;</w:t>
      </w:r>
    </w:p>
    <w:p w14:paraId="0EC4FC79"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 өлшеулердің белгісіздігін бағалауды көрсете отырып, уәкілетті орган белгілеген тәртіппен арнайы бағдарламалық қамтамасыз етуді пайдалана отырып толтырылған тексеру/калибрлеу туралы сертификатты ресімдеу.</w:t>
      </w:r>
    </w:p>
    <w:p w14:paraId="322D0133" w14:textId="77777777" w:rsidR="003D0427" w:rsidRPr="00BF4455" w:rsidRDefault="003D0427" w:rsidP="003D0427">
      <w:pPr>
        <w:jc w:val="both"/>
        <w:rPr>
          <w:rFonts w:ascii="Times New Roman" w:hAnsi="Times New Roman" w:cs="Times New Roman"/>
        </w:rPr>
      </w:pPr>
      <w:r w:rsidRPr="00BF4455">
        <w:rPr>
          <w:rFonts w:ascii="Times New Roman" w:hAnsi="Times New Roman" w:cs="Times New Roman"/>
        </w:rPr>
        <w:t>СИ тексеру нәтижелері бойынша жарамсыз деп танылған жағдайда, ҚР СТ 2.4–2019 "ҚР МЖӘ" талаптарына сәйкес қолдануға жарамсыздығы сипатталған СИ жарамсыздығы туралы хабарлама беру. Өлшеу құралдарын тексеру. Ұйымдастыру және өткізу тәртібі".</w:t>
      </w:r>
    </w:p>
    <w:p w14:paraId="1CEDD770" w14:textId="77777777" w:rsidR="003D0427" w:rsidRPr="00BF4455" w:rsidRDefault="003D0427" w:rsidP="00527159">
      <w:pPr>
        <w:jc w:val="both"/>
        <w:rPr>
          <w:rFonts w:ascii="Times New Roman" w:hAnsi="Times New Roman" w:cs="Times New Roman"/>
        </w:rPr>
      </w:pPr>
      <w:r w:rsidRPr="00BF4455">
        <w:rPr>
          <w:rFonts w:ascii="Times New Roman" w:hAnsi="Times New Roman" w:cs="Times New Roman"/>
        </w:rPr>
        <w:t>2.10. Өлшеу құралдарын кезектен тыс тексеру қажет болған жағдайда (мысалы, пайдалану жағдайлары өзгерген, бүлінген, дұрыс жұмыс істемеген деген күдік туындаған кезде, жөндеуден немесе жаңғыртудан кейін) Орындаушы мұндай тексеруді Тапсырыс берушімен келісілген мерзімдерде жүргізуге міндеттенеді.</w:t>
      </w:r>
    </w:p>
    <w:p w14:paraId="6B6EADCA" w14:textId="77777777" w:rsidR="003D0427" w:rsidRPr="00BF4455" w:rsidRDefault="003D0427" w:rsidP="00527159">
      <w:pPr>
        <w:jc w:val="both"/>
        <w:rPr>
          <w:rFonts w:ascii="Times New Roman" w:hAnsi="Times New Roman" w:cs="Times New Roman"/>
        </w:rPr>
      </w:pPr>
      <w:r w:rsidRPr="00BF4455">
        <w:rPr>
          <w:rFonts w:ascii="Times New Roman" w:hAnsi="Times New Roman" w:cs="Times New Roman"/>
        </w:rPr>
        <w:t>2.11. Қажет болған жағдайда сұйықтықтарды, газдарды немесе басқа заттарды сақтау үшін Тапсырыс берушінің объектісінде пайдаланылатын барлық типтегі резервуарларды (сыйымдылықтарды) калибрлеуді жүргізу. Калибрлеу ҚР аумағында қолданылатын нормативтік құжаттар мен стандарттарға сәйкес және градуирлеу кестесін ресімдеумен жүргізілуі тиіс.</w:t>
      </w:r>
    </w:p>
    <w:p w14:paraId="100E10E0" w14:textId="77777777" w:rsidR="003D0427" w:rsidRPr="00BF4455" w:rsidRDefault="003D0427" w:rsidP="00527159">
      <w:pPr>
        <w:jc w:val="both"/>
        <w:rPr>
          <w:rFonts w:ascii="Times New Roman" w:hAnsi="Times New Roman" w:cs="Times New Roman"/>
        </w:rPr>
      </w:pPr>
      <w:r w:rsidRPr="00BF4455">
        <w:rPr>
          <w:rFonts w:ascii="Times New Roman" w:hAnsi="Times New Roman" w:cs="Times New Roman"/>
        </w:rPr>
        <w:t>2.12. Тапсырыс берушінің барлық пайдаланылатын өлшеу құралдарының, олардың санын, түрлерін, қолдану салаларын және техникалық сипаттамаларын қоса алғанда, толық тізбесімен танысу. Бұған мыналар кіреді:</w:t>
      </w:r>
    </w:p>
    <w:p w14:paraId="06AA29D6" w14:textId="77777777" w:rsidR="003D0427" w:rsidRPr="00BF4455" w:rsidRDefault="003D0427" w:rsidP="00527159">
      <w:pPr>
        <w:jc w:val="both"/>
        <w:rPr>
          <w:rFonts w:ascii="Times New Roman" w:hAnsi="Times New Roman" w:cs="Times New Roman"/>
        </w:rPr>
      </w:pPr>
      <w:r w:rsidRPr="00BF4455">
        <w:rPr>
          <w:rFonts w:ascii="Times New Roman" w:hAnsi="Times New Roman" w:cs="Times New Roman"/>
        </w:rPr>
        <w:t>- Тексеруге және калибрлеуге жататын өлшеу құралдарының нақты санын анықтау, сондай-ақ оларды түрлері мен мақсаты бойынша жіктеу;</w:t>
      </w:r>
    </w:p>
    <w:p w14:paraId="49139CA8" w14:textId="77777777" w:rsidR="003D0427" w:rsidRPr="00BF4455" w:rsidRDefault="003D0427" w:rsidP="00527159">
      <w:pPr>
        <w:jc w:val="both"/>
        <w:rPr>
          <w:rFonts w:ascii="Times New Roman" w:hAnsi="Times New Roman" w:cs="Times New Roman"/>
        </w:rPr>
      </w:pPr>
      <w:r w:rsidRPr="00BF4455">
        <w:rPr>
          <w:rFonts w:ascii="Times New Roman" w:hAnsi="Times New Roman" w:cs="Times New Roman"/>
        </w:rPr>
        <w:t>- Пайдалану шарттарын ескере отырып, әрбір өлшеу құралының жай-күйін және пайдалану сипаттамаларын бағалау;</w:t>
      </w:r>
    </w:p>
    <w:p w14:paraId="106DAF6D" w14:textId="77777777" w:rsidR="003D0427" w:rsidRPr="00BF4455" w:rsidRDefault="003D0427" w:rsidP="00527159">
      <w:pPr>
        <w:jc w:val="both"/>
        <w:rPr>
          <w:rFonts w:ascii="Times New Roman" w:hAnsi="Times New Roman" w:cs="Times New Roman"/>
        </w:rPr>
      </w:pPr>
      <w:r w:rsidRPr="00BF4455">
        <w:rPr>
          <w:rFonts w:ascii="Times New Roman" w:hAnsi="Times New Roman" w:cs="Times New Roman"/>
        </w:rPr>
        <w:t>- Пайдаланылатын СИ көлемі мен түрлеріне байланысты тексеру/калибрлеу жүргізу тәртібі мен кезектілігін белгілеу.</w:t>
      </w:r>
    </w:p>
    <w:p w14:paraId="5AEFACA2" w14:textId="77777777" w:rsidR="003D0427" w:rsidRPr="00BF4455" w:rsidRDefault="003D0427" w:rsidP="00527159">
      <w:pPr>
        <w:jc w:val="both"/>
        <w:rPr>
          <w:rFonts w:ascii="Times New Roman" w:hAnsi="Times New Roman" w:cs="Times New Roman"/>
        </w:rPr>
      </w:pPr>
      <w:r w:rsidRPr="00BF4455">
        <w:rPr>
          <w:rFonts w:ascii="Times New Roman" w:hAnsi="Times New Roman" w:cs="Times New Roman"/>
        </w:rPr>
        <w:t>- Орындаушы сондай-ақ осы өлшеу құралдарын пайдалануға байланысты нормативтік және техникалық талаптармен, сондай-ақ тексерудің/калибрлеудің дәлдігі мен жиілігіне әсер етуі мүмкін Тапсырыс берушінің өндірістік шарттарымен танысуға тиіс.</w:t>
      </w:r>
    </w:p>
    <w:p w14:paraId="37BE99FE" w14:textId="77777777" w:rsidR="003D0427" w:rsidRPr="00BF4455" w:rsidRDefault="003D0427" w:rsidP="00527159">
      <w:pPr>
        <w:jc w:val="both"/>
        <w:rPr>
          <w:rFonts w:ascii="Times New Roman" w:hAnsi="Times New Roman" w:cs="Times New Roman"/>
        </w:rPr>
      </w:pPr>
      <w:r w:rsidRPr="00BF4455">
        <w:rPr>
          <w:rFonts w:ascii="Times New Roman" w:hAnsi="Times New Roman" w:cs="Times New Roman"/>
        </w:rPr>
        <w:t>2.13. Тапсырыс берушінің объектілерінде (оның ішінде портативті) пайдаланылатын барлық өлшеу құралдарын метрологиялық қамтамасыз ету жөніндегі іс-шаралардың толық кешенін 5-тармаққа сәйкес, бірақ олармен шектелмей орындауды қамтамасыз ету.</w:t>
      </w:r>
    </w:p>
    <w:p w14:paraId="2E90F2B9" w14:textId="48ADB577" w:rsidR="001F5104" w:rsidRPr="00BF4455" w:rsidRDefault="003D0427" w:rsidP="00527159">
      <w:pPr>
        <w:jc w:val="both"/>
        <w:rPr>
          <w:rFonts w:ascii="Times New Roman" w:hAnsi="Times New Roman" w:cs="Times New Roman"/>
        </w:rPr>
      </w:pPr>
      <w:r w:rsidRPr="00BF4455">
        <w:rPr>
          <w:rFonts w:ascii="Times New Roman" w:hAnsi="Times New Roman" w:cs="Times New Roman"/>
        </w:rPr>
        <w:t>2.14. Өтінімді алған сәттен бастап күнтізбелік 3 күн ішінде Тапсырыс берушінің өтінімі бойынша көрсеткіштерді жоспардан тыс салыстыруды, МСБ және ГКЕТ, АГТС, МЕП тексерулерін жүргізуді қамтамасыз ету.</w:t>
      </w:r>
    </w:p>
    <w:p w14:paraId="1DD6F564" w14:textId="77777777" w:rsidR="001F5104" w:rsidRPr="00BF4455" w:rsidRDefault="001F5104" w:rsidP="007309DE">
      <w:pPr>
        <w:rPr>
          <w:rFonts w:ascii="Times New Roman" w:hAnsi="Times New Roman" w:cs="Times New Roman"/>
        </w:rPr>
      </w:pPr>
    </w:p>
    <w:p w14:paraId="7281867F" w14:textId="54251355" w:rsidR="001F5104" w:rsidRPr="00BF4455" w:rsidRDefault="00377289" w:rsidP="007309DE">
      <w:pPr>
        <w:rPr>
          <w:rFonts w:ascii="Times New Roman" w:hAnsi="Times New Roman" w:cs="Times New Roman"/>
          <w:b/>
          <w:bCs/>
        </w:rPr>
      </w:pPr>
      <w:r w:rsidRPr="00BF4455">
        <w:rPr>
          <w:rFonts w:ascii="Times New Roman" w:hAnsi="Times New Roman" w:cs="Times New Roman"/>
          <w:b/>
          <w:bCs/>
        </w:rPr>
        <w:t xml:space="preserve">3. </w:t>
      </w:r>
      <w:r w:rsidR="00055C17" w:rsidRPr="00BF4455">
        <w:rPr>
          <w:rFonts w:ascii="Times New Roman" w:hAnsi="Times New Roman" w:cs="Times New Roman"/>
          <w:b/>
          <w:bCs/>
        </w:rPr>
        <w:t>Орындаушының біліктілігі мен жабдықталуына қойылатын талаптар:</w:t>
      </w:r>
    </w:p>
    <w:p w14:paraId="2321EA40" w14:textId="77777777" w:rsidR="00AD7A64" w:rsidRPr="00BF4455" w:rsidRDefault="00AD7A64" w:rsidP="00AD7A64">
      <w:pPr>
        <w:jc w:val="both"/>
        <w:rPr>
          <w:rFonts w:ascii="Times New Roman" w:hAnsi="Times New Roman" w:cs="Times New Roman"/>
        </w:rPr>
      </w:pPr>
      <w:r w:rsidRPr="00BF4455">
        <w:rPr>
          <w:rFonts w:ascii="Times New Roman" w:hAnsi="Times New Roman" w:cs="Times New Roman"/>
        </w:rPr>
        <w:t xml:space="preserve">3.1. Тапсырыс берушінің өлшеу құралдарының барлық түрлерін қамтитын аккредиттеу саласы бар өлшеу құралдарын тексеру және калибрлеу құқығына арналған аккредиттеу аттестаты. Өлшеу құралдарын тексеру және калибрлеу құқығына қолданыстағы аккредиттеу облысының </w:t>
      </w:r>
      <w:r w:rsidRPr="00BF4455">
        <w:rPr>
          <w:rFonts w:ascii="Times New Roman" w:hAnsi="Times New Roman" w:cs="Times New Roman"/>
        </w:rPr>
        <w:lastRenderedPageBreak/>
        <w:t>салыстырып тексеру, калибрлеу зертханасын аккредиттеу аттестатының электрондық көшірмелері және салыстырып тексеру, калибрлеу зертханасының қызмет саласының көшірмесі қоса берілсін.</w:t>
      </w:r>
    </w:p>
    <w:p w14:paraId="67246107" w14:textId="77777777" w:rsidR="00AD7A64" w:rsidRPr="00BF4455" w:rsidRDefault="00AD7A64" w:rsidP="00AD7A64">
      <w:pPr>
        <w:jc w:val="both"/>
        <w:rPr>
          <w:rFonts w:ascii="Times New Roman" w:hAnsi="Times New Roman" w:cs="Times New Roman"/>
        </w:rPr>
      </w:pPr>
      <w:r w:rsidRPr="00BF4455">
        <w:rPr>
          <w:rFonts w:ascii="Times New Roman" w:hAnsi="Times New Roman" w:cs="Times New Roman"/>
        </w:rPr>
        <w:t>3.2. Өлшеу құралдарын пайдалану орны бойынша Тапсырыс берушінің объектілерінде қызмет көрсетуге арналған жылжымалы тексеру зертханаларының/арнайы көлік құралдарының болуы кемінде 1 бірлік.</w:t>
      </w:r>
    </w:p>
    <w:p w14:paraId="37312914" w14:textId="79AB4A31" w:rsidR="001F5104" w:rsidRPr="00BF4455" w:rsidRDefault="00AD7A64" w:rsidP="00AD7A64">
      <w:pPr>
        <w:jc w:val="both"/>
        <w:rPr>
          <w:rFonts w:ascii="Times New Roman" w:hAnsi="Times New Roman" w:cs="Times New Roman"/>
        </w:rPr>
      </w:pPr>
      <w:r w:rsidRPr="00BF4455">
        <w:rPr>
          <w:rFonts w:ascii="Times New Roman" w:hAnsi="Times New Roman" w:cs="Times New Roman"/>
        </w:rPr>
        <w:t>3.3. Орындаушының ұқсас салада кемінде 3 жыл жұмыс тәжірибесі болуы тиіс.</w:t>
      </w:r>
    </w:p>
    <w:p w14:paraId="28EAF22F" w14:textId="77777777" w:rsidR="00AD7A64" w:rsidRPr="00BF4455" w:rsidRDefault="00AD7A64" w:rsidP="00AD7A64">
      <w:pPr>
        <w:jc w:val="both"/>
        <w:rPr>
          <w:rFonts w:ascii="Times New Roman" w:hAnsi="Times New Roman" w:cs="Times New Roman"/>
        </w:rPr>
      </w:pPr>
    </w:p>
    <w:p w14:paraId="7E2C8E6A" w14:textId="17D58418" w:rsidR="001F5104" w:rsidRPr="00BF4455" w:rsidRDefault="009F6080" w:rsidP="007309DE">
      <w:pPr>
        <w:rPr>
          <w:rFonts w:ascii="Times New Roman" w:hAnsi="Times New Roman" w:cs="Times New Roman"/>
          <w:b/>
          <w:bCs/>
          <w:lang w:val="ru-RU"/>
        </w:rPr>
      </w:pPr>
      <w:r w:rsidRPr="00BF4455">
        <w:rPr>
          <w:rFonts w:ascii="Times New Roman" w:hAnsi="Times New Roman" w:cs="Times New Roman"/>
          <w:b/>
          <w:bCs/>
          <w:lang w:val="ru-RU"/>
        </w:rPr>
        <w:t xml:space="preserve">4. </w:t>
      </w:r>
      <w:proofErr w:type="spellStart"/>
      <w:r w:rsidRPr="00BF4455">
        <w:rPr>
          <w:rFonts w:ascii="Times New Roman" w:hAnsi="Times New Roman" w:cs="Times New Roman"/>
          <w:b/>
          <w:bCs/>
          <w:lang w:val="ru-RU"/>
        </w:rPr>
        <w:t>Орындаушының</w:t>
      </w:r>
      <w:proofErr w:type="spellEnd"/>
      <w:r w:rsidRPr="00BF4455">
        <w:rPr>
          <w:rFonts w:ascii="Times New Roman" w:hAnsi="Times New Roman" w:cs="Times New Roman"/>
          <w:b/>
          <w:bCs/>
          <w:lang w:val="ru-RU"/>
        </w:rPr>
        <w:t xml:space="preserve"> </w:t>
      </w:r>
      <w:proofErr w:type="spellStart"/>
      <w:r w:rsidRPr="00BF4455">
        <w:rPr>
          <w:rFonts w:ascii="Times New Roman" w:hAnsi="Times New Roman" w:cs="Times New Roman"/>
          <w:b/>
          <w:bCs/>
          <w:lang w:val="ru-RU"/>
        </w:rPr>
        <w:t>мамандарына</w:t>
      </w:r>
      <w:proofErr w:type="spellEnd"/>
      <w:r w:rsidRPr="00BF4455">
        <w:rPr>
          <w:rFonts w:ascii="Times New Roman" w:hAnsi="Times New Roman" w:cs="Times New Roman"/>
          <w:b/>
          <w:bCs/>
          <w:lang w:val="ru-RU"/>
        </w:rPr>
        <w:t xml:space="preserve"> </w:t>
      </w:r>
      <w:proofErr w:type="spellStart"/>
      <w:r w:rsidRPr="00BF4455">
        <w:rPr>
          <w:rFonts w:ascii="Times New Roman" w:hAnsi="Times New Roman" w:cs="Times New Roman"/>
          <w:b/>
          <w:bCs/>
          <w:lang w:val="ru-RU"/>
        </w:rPr>
        <w:t>қойылатын</w:t>
      </w:r>
      <w:proofErr w:type="spellEnd"/>
      <w:r w:rsidRPr="00BF4455">
        <w:rPr>
          <w:rFonts w:ascii="Times New Roman" w:hAnsi="Times New Roman" w:cs="Times New Roman"/>
          <w:b/>
          <w:bCs/>
          <w:lang w:val="ru-RU"/>
        </w:rPr>
        <w:t xml:space="preserve"> </w:t>
      </w:r>
      <w:proofErr w:type="spellStart"/>
      <w:r w:rsidRPr="00BF4455">
        <w:rPr>
          <w:rFonts w:ascii="Times New Roman" w:hAnsi="Times New Roman" w:cs="Times New Roman"/>
          <w:b/>
          <w:bCs/>
          <w:lang w:val="ru-RU"/>
        </w:rPr>
        <w:t>талаптар</w:t>
      </w:r>
      <w:proofErr w:type="spellEnd"/>
      <w:r w:rsidRPr="00BF4455">
        <w:rPr>
          <w:rFonts w:ascii="Times New Roman" w:hAnsi="Times New Roman" w:cs="Times New Roman"/>
          <w:b/>
          <w:bCs/>
          <w:lang w:val="ru-RU"/>
        </w:rPr>
        <w:t>:</w:t>
      </w:r>
    </w:p>
    <w:p w14:paraId="2F6C3AD4" w14:textId="77777777" w:rsidR="009F6080" w:rsidRPr="00BF4455" w:rsidRDefault="009F6080" w:rsidP="007309DE">
      <w:pPr>
        <w:rPr>
          <w:rFonts w:ascii="Times New Roman" w:hAnsi="Times New Roman" w:cs="Times New Roman"/>
          <w:lang w:val="ru-RU"/>
        </w:rPr>
      </w:pPr>
    </w:p>
    <w:tbl>
      <w:tblPr>
        <w:tblStyle w:val="af4"/>
        <w:tblW w:w="0" w:type="auto"/>
        <w:tblLook w:val="04A0" w:firstRow="1" w:lastRow="0" w:firstColumn="1" w:lastColumn="0" w:noHBand="0" w:noVBand="1"/>
      </w:tblPr>
      <w:tblGrid>
        <w:gridCol w:w="2419"/>
        <w:gridCol w:w="2420"/>
        <w:gridCol w:w="2420"/>
        <w:gridCol w:w="2420"/>
      </w:tblGrid>
      <w:tr w:rsidR="00ED2D09" w:rsidRPr="00BF4455" w14:paraId="2D4879D2" w14:textId="77777777" w:rsidTr="00ED2D09">
        <w:tc>
          <w:tcPr>
            <w:tcW w:w="2419" w:type="dxa"/>
          </w:tcPr>
          <w:p w14:paraId="0FC77CBA" w14:textId="11D7335C" w:rsidR="00ED2D09" w:rsidRPr="00BF4455" w:rsidRDefault="00ED2D09" w:rsidP="00ED2D09">
            <w:pPr>
              <w:jc w:val="center"/>
              <w:rPr>
                <w:rFonts w:ascii="Times New Roman" w:hAnsi="Times New Roman" w:cs="Times New Roman"/>
                <w:b/>
                <w:bCs/>
                <w:lang w:val="ru-RU"/>
              </w:rPr>
            </w:pPr>
            <w:r w:rsidRPr="00BF4455">
              <w:rPr>
                <w:rFonts w:ascii="Times New Roman" w:hAnsi="Times New Roman" w:cs="Times New Roman"/>
                <w:b/>
                <w:bCs/>
              </w:rPr>
              <w:t>Біліктілігі және/немесе жұмыс тәжірибесі бар мамандар</w:t>
            </w:r>
          </w:p>
        </w:tc>
        <w:tc>
          <w:tcPr>
            <w:tcW w:w="2420" w:type="dxa"/>
          </w:tcPr>
          <w:p w14:paraId="7308A03E" w14:textId="07DA07F3" w:rsidR="00ED2D09" w:rsidRPr="00BF4455" w:rsidRDefault="00ED2D09" w:rsidP="00ED2D09">
            <w:pPr>
              <w:jc w:val="center"/>
              <w:rPr>
                <w:rFonts w:ascii="Times New Roman" w:hAnsi="Times New Roman" w:cs="Times New Roman"/>
                <w:b/>
                <w:bCs/>
                <w:lang w:val="ru-RU"/>
              </w:rPr>
            </w:pPr>
            <w:r w:rsidRPr="00BF4455">
              <w:rPr>
                <w:rFonts w:ascii="Times New Roman" w:hAnsi="Times New Roman" w:cs="Times New Roman"/>
                <w:b/>
                <w:bCs/>
              </w:rPr>
              <w:t>Мамандардың біліктілігін және/немесе жұмыс тәжірибесін растайтын құжаттар</w:t>
            </w:r>
          </w:p>
        </w:tc>
        <w:tc>
          <w:tcPr>
            <w:tcW w:w="2420" w:type="dxa"/>
          </w:tcPr>
          <w:p w14:paraId="0125EA0C" w14:textId="77777777" w:rsidR="00ED2D09" w:rsidRPr="00BF4455" w:rsidRDefault="00ED2D09" w:rsidP="00ED2D09">
            <w:pPr>
              <w:jc w:val="center"/>
              <w:rPr>
                <w:rFonts w:ascii="Times New Roman" w:hAnsi="Times New Roman" w:cs="Times New Roman"/>
                <w:b/>
                <w:bCs/>
                <w:lang w:val="ru-RU"/>
              </w:rPr>
            </w:pPr>
          </w:p>
          <w:p w14:paraId="0EF495E3" w14:textId="77777777" w:rsidR="00ED2D09" w:rsidRPr="00BF4455" w:rsidRDefault="00ED2D09" w:rsidP="00ED2D09">
            <w:pPr>
              <w:jc w:val="center"/>
              <w:rPr>
                <w:rFonts w:ascii="Times New Roman" w:hAnsi="Times New Roman" w:cs="Times New Roman"/>
                <w:b/>
                <w:bCs/>
                <w:lang w:val="ru-RU"/>
              </w:rPr>
            </w:pPr>
          </w:p>
          <w:p w14:paraId="2CF85EF7" w14:textId="26907566" w:rsidR="00ED2D09" w:rsidRPr="00BF4455" w:rsidRDefault="00ED2D09" w:rsidP="00ED2D09">
            <w:pPr>
              <w:jc w:val="center"/>
              <w:rPr>
                <w:rFonts w:ascii="Times New Roman" w:hAnsi="Times New Roman" w:cs="Times New Roman"/>
                <w:b/>
                <w:bCs/>
                <w:lang w:val="ru-RU"/>
              </w:rPr>
            </w:pPr>
            <w:r w:rsidRPr="00BF4455">
              <w:rPr>
                <w:rFonts w:ascii="Times New Roman" w:hAnsi="Times New Roman" w:cs="Times New Roman"/>
                <w:b/>
                <w:bCs/>
              </w:rPr>
              <w:t>Саны</w:t>
            </w:r>
          </w:p>
        </w:tc>
        <w:tc>
          <w:tcPr>
            <w:tcW w:w="2420" w:type="dxa"/>
          </w:tcPr>
          <w:p w14:paraId="660E2F44" w14:textId="77777777" w:rsidR="00ED2D09" w:rsidRPr="00BF4455" w:rsidRDefault="00ED2D09" w:rsidP="00ED2D09">
            <w:pPr>
              <w:jc w:val="center"/>
              <w:rPr>
                <w:rFonts w:ascii="Times New Roman" w:hAnsi="Times New Roman" w:cs="Times New Roman"/>
                <w:b/>
                <w:bCs/>
                <w:lang w:val="ru-RU"/>
              </w:rPr>
            </w:pPr>
          </w:p>
          <w:p w14:paraId="0DE294D8" w14:textId="77777777" w:rsidR="00ED2D09" w:rsidRPr="00BF4455" w:rsidRDefault="00ED2D09" w:rsidP="00ED2D09">
            <w:pPr>
              <w:jc w:val="center"/>
              <w:rPr>
                <w:rFonts w:ascii="Times New Roman" w:hAnsi="Times New Roman" w:cs="Times New Roman"/>
                <w:b/>
                <w:bCs/>
                <w:lang w:val="ru-RU"/>
              </w:rPr>
            </w:pPr>
          </w:p>
          <w:p w14:paraId="4F5FE7B2" w14:textId="49383F56" w:rsidR="00ED2D09" w:rsidRPr="00BF4455" w:rsidRDefault="00ED2D09" w:rsidP="00ED2D09">
            <w:pPr>
              <w:jc w:val="center"/>
              <w:rPr>
                <w:rFonts w:ascii="Times New Roman" w:hAnsi="Times New Roman" w:cs="Times New Roman"/>
                <w:b/>
                <w:bCs/>
                <w:lang w:val="ru-RU"/>
              </w:rPr>
            </w:pPr>
            <w:r w:rsidRPr="00BF4455">
              <w:rPr>
                <w:rFonts w:ascii="Times New Roman" w:hAnsi="Times New Roman" w:cs="Times New Roman"/>
                <w:b/>
                <w:bCs/>
              </w:rPr>
              <w:t>Жұмыс тәжірибесі</w:t>
            </w:r>
          </w:p>
        </w:tc>
      </w:tr>
      <w:tr w:rsidR="00ED2D09" w:rsidRPr="00BF4455" w14:paraId="47CCC80C" w14:textId="77777777" w:rsidTr="00AD7A64">
        <w:trPr>
          <w:trHeight w:val="5944"/>
        </w:trPr>
        <w:tc>
          <w:tcPr>
            <w:tcW w:w="2419" w:type="dxa"/>
          </w:tcPr>
          <w:p w14:paraId="5076452E" w14:textId="2C92E1D8" w:rsidR="00ED2D09" w:rsidRPr="00BF4455" w:rsidRDefault="001212B6" w:rsidP="007309DE">
            <w:pPr>
              <w:rPr>
                <w:rFonts w:ascii="Times New Roman" w:hAnsi="Times New Roman" w:cs="Times New Roman"/>
              </w:rPr>
            </w:pPr>
            <w:r w:rsidRPr="00BF4455">
              <w:rPr>
                <w:rFonts w:ascii="Times New Roman" w:hAnsi="Times New Roman" w:cs="Times New Roman"/>
              </w:rPr>
              <w:t>Стандарттау, метрология және сертификаттау мамандығы бойынша немесе ұқсас мамандық бойынша Инженер немесе бакалавр</w:t>
            </w:r>
          </w:p>
        </w:tc>
        <w:tc>
          <w:tcPr>
            <w:tcW w:w="2420" w:type="dxa"/>
          </w:tcPr>
          <w:p w14:paraId="6448D205" w14:textId="0864EA57" w:rsidR="00ED2D09" w:rsidRPr="00BF4455" w:rsidRDefault="00AD7A64" w:rsidP="007309DE">
            <w:pPr>
              <w:rPr>
                <w:rFonts w:ascii="Times New Roman" w:hAnsi="Times New Roman" w:cs="Times New Roman"/>
              </w:rPr>
            </w:pPr>
            <w:r w:rsidRPr="00BF4455">
              <w:rPr>
                <w:rFonts w:ascii="Times New Roman" w:hAnsi="Times New Roman" w:cs="Times New Roman"/>
              </w:rPr>
              <w:t>Дипломның, еңбек кітапшасының немесе еңбек шартының электрондық көшірмесі және жабдық өндірушісі не курс бойынша уәкілетті оқыту орталығы берген білікті маман сертификатының электрондық көшірмесі: өлшеу бойынша СИ салыстырушы – физика-химиялық өлшеулер.</w:t>
            </w:r>
          </w:p>
        </w:tc>
        <w:tc>
          <w:tcPr>
            <w:tcW w:w="2420" w:type="dxa"/>
          </w:tcPr>
          <w:p w14:paraId="58AE01A0" w14:textId="6B87FE20" w:rsidR="00ED2D09" w:rsidRPr="00BF4455" w:rsidRDefault="00761EEE" w:rsidP="00ED2D09">
            <w:pPr>
              <w:jc w:val="center"/>
              <w:rPr>
                <w:rFonts w:ascii="Times New Roman" w:hAnsi="Times New Roman" w:cs="Times New Roman"/>
                <w:lang w:val="ru-RU"/>
              </w:rPr>
            </w:pPr>
            <w:r w:rsidRPr="00BF4455">
              <w:rPr>
                <w:rFonts w:ascii="Times New Roman" w:hAnsi="Times New Roman" w:cs="Times New Roman"/>
                <w:lang w:val="ru-RU"/>
              </w:rPr>
              <w:t>3</w:t>
            </w:r>
          </w:p>
        </w:tc>
        <w:tc>
          <w:tcPr>
            <w:tcW w:w="2420" w:type="dxa"/>
          </w:tcPr>
          <w:p w14:paraId="268141FA" w14:textId="4882120F" w:rsidR="00ED2D09" w:rsidRPr="00BF4455" w:rsidRDefault="00A945F4" w:rsidP="00ED2D09">
            <w:pPr>
              <w:jc w:val="center"/>
              <w:rPr>
                <w:rFonts w:ascii="Times New Roman" w:hAnsi="Times New Roman" w:cs="Times New Roman"/>
                <w:lang w:val="ru-RU"/>
              </w:rPr>
            </w:pPr>
            <w:r w:rsidRPr="00BF4455">
              <w:rPr>
                <w:rFonts w:ascii="Times New Roman" w:hAnsi="Times New Roman" w:cs="Times New Roman"/>
                <w:lang w:val="ru-RU"/>
              </w:rPr>
              <w:t>3</w:t>
            </w:r>
          </w:p>
        </w:tc>
      </w:tr>
    </w:tbl>
    <w:p w14:paraId="2409C6A1" w14:textId="77777777" w:rsidR="001F5104" w:rsidRPr="00BF4455" w:rsidRDefault="001F5104" w:rsidP="007309DE">
      <w:pPr>
        <w:rPr>
          <w:rFonts w:ascii="Times New Roman" w:hAnsi="Times New Roman" w:cs="Times New Roman"/>
          <w:lang w:val="ru-RU"/>
        </w:rPr>
      </w:pPr>
    </w:p>
    <w:p w14:paraId="3C465D7B" w14:textId="1F2689CE" w:rsidR="00DB6D40" w:rsidRPr="00BF4455" w:rsidRDefault="00DB6D40" w:rsidP="007309DE">
      <w:pPr>
        <w:rPr>
          <w:rFonts w:ascii="Times New Roman" w:hAnsi="Times New Roman" w:cs="Times New Roman"/>
          <w:b/>
          <w:bCs/>
          <w:lang w:val="ru-RU"/>
        </w:rPr>
      </w:pPr>
      <w:r w:rsidRPr="00BF4455">
        <w:rPr>
          <w:rFonts w:ascii="Times New Roman" w:hAnsi="Times New Roman" w:cs="Times New Roman"/>
          <w:b/>
          <w:bCs/>
          <w:lang w:val="ru-RU"/>
        </w:rPr>
        <w:t xml:space="preserve">5. </w:t>
      </w:r>
      <w:proofErr w:type="spellStart"/>
      <w:r w:rsidRPr="00BF4455">
        <w:rPr>
          <w:rFonts w:ascii="Times New Roman" w:hAnsi="Times New Roman" w:cs="Times New Roman"/>
          <w:b/>
          <w:bCs/>
          <w:lang w:val="ru-RU"/>
        </w:rPr>
        <w:t>Өлшем</w:t>
      </w:r>
      <w:proofErr w:type="spellEnd"/>
      <w:r w:rsidRPr="00BF4455">
        <w:rPr>
          <w:rFonts w:ascii="Times New Roman" w:hAnsi="Times New Roman" w:cs="Times New Roman"/>
          <w:b/>
          <w:bCs/>
          <w:lang w:val="ru-RU"/>
        </w:rPr>
        <w:t xml:space="preserve"> </w:t>
      </w:r>
      <w:proofErr w:type="spellStart"/>
      <w:r w:rsidRPr="00BF4455">
        <w:rPr>
          <w:rFonts w:ascii="Times New Roman" w:hAnsi="Times New Roman" w:cs="Times New Roman"/>
          <w:b/>
          <w:bCs/>
          <w:lang w:val="ru-RU"/>
        </w:rPr>
        <w:t>құралдарының</w:t>
      </w:r>
      <w:proofErr w:type="spellEnd"/>
      <w:r w:rsidRPr="00BF4455">
        <w:rPr>
          <w:rFonts w:ascii="Times New Roman" w:hAnsi="Times New Roman" w:cs="Times New Roman"/>
          <w:b/>
          <w:bCs/>
          <w:lang w:val="ru-RU"/>
        </w:rPr>
        <w:t xml:space="preserve"> </w:t>
      </w:r>
      <w:proofErr w:type="spellStart"/>
      <w:r w:rsidRPr="00BF4455">
        <w:rPr>
          <w:rFonts w:ascii="Times New Roman" w:hAnsi="Times New Roman" w:cs="Times New Roman"/>
          <w:b/>
          <w:bCs/>
          <w:lang w:val="ru-RU"/>
        </w:rPr>
        <w:t>тізбесі</w:t>
      </w:r>
      <w:proofErr w:type="spellEnd"/>
      <w:r w:rsidRPr="00BF4455">
        <w:rPr>
          <w:rFonts w:ascii="Times New Roman" w:hAnsi="Times New Roman" w:cs="Times New Roman"/>
          <w:b/>
          <w:bCs/>
          <w:lang w:val="ru-RU"/>
        </w:rPr>
        <w:t>:</w:t>
      </w:r>
    </w:p>
    <w:p w14:paraId="6A78A4BA" w14:textId="77777777"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қысым</w:t>
      </w:r>
      <w:proofErr w:type="spellEnd"/>
      <w:r w:rsidRPr="00BF4455">
        <w:rPr>
          <w:rFonts w:ascii="Times New Roman" w:hAnsi="Times New Roman" w:cs="Times New Roman"/>
          <w:lang w:val="ru-RU"/>
        </w:rPr>
        <w:t xml:space="preserve"> түрлендіргіштері-134 дана.</w:t>
      </w:r>
    </w:p>
    <w:p w14:paraId="31546D68" w14:textId="36033B23"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температура түрлендіргіштері-1</w:t>
      </w:r>
      <w:r w:rsidR="000A43B5">
        <w:rPr>
          <w:rFonts w:ascii="Times New Roman" w:hAnsi="Times New Roman" w:cs="Times New Roman"/>
          <w:lang w:val="ru-RU"/>
        </w:rPr>
        <w:t>21</w:t>
      </w:r>
      <w:r w:rsidRPr="00BF4455">
        <w:rPr>
          <w:rFonts w:ascii="Times New Roman" w:hAnsi="Times New Roman" w:cs="Times New Roman"/>
          <w:lang w:val="ru-RU"/>
        </w:rPr>
        <w:t xml:space="preserve"> дана.</w:t>
      </w:r>
    </w:p>
    <w:p w14:paraId="0EF5EF99" w14:textId="6F0433C6"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деңгей</w:t>
      </w:r>
      <w:proofErr w:type="spellEnd"/>
      <w:r w:rsidRPr="00BF4455">
        <w:rPr>
          <w:rFonts w:ascii="Times New Roman" w:hAnsi="Times New Roman" w:cs="Times New Roman"/>
          <w:lang w:val="ru-RU"/>
        </w:rPr>
        <w:t xml:space="preserve"> түрлендіргіштері-4</w:t>
      </w:r>
      <w:r w:rsidR="000A43B5">
        <w:rPr>
          <w:rFonts w:ascii="Times New Roman" w:hAnsi="Times New Roman" w:cs="Times New Roman"/>
          <w:lang w:val="ru-RU"/>
        </w:rPr>
        <w:t>9</w:t>
      </w:r>
      <w:r w:rsidRPr="00BF4455">
        <w:rPr>
          <w:rFonts w:ascii="Times New Roman" w:hAnsi="Times New Roman" w:cs="Times New Roman"/>
          <w:lang w:val="ru-RU"/>
        </w:rPr>
        <w:t xml:space="preserve"> дана.</w:t>
      </w:r>
    </w:p>
    <w:p w14:paraId="0BF578A2" w14:textId="1F5B391E"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дифференциалды</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қысым</w:t>
      </w:r>
      <w:proofErr w:type="spellEnd"/>
      <w:r w:rsidRPr="00BF4455">
        <w:rPr>
          <w:rFonts w:ascii="Times New Roman" w:hAnsi="Times New Roman" w:cs="Times New Roman"/>
          <w:lang w:val="ru-RU"/>
        </w:rPr>
        <w:t xml:space="preserve"> түрлендіргіштері-1</w:t>
      </w:r>
      <w:r w:rsidR="000A43B5">
        <w:rPr>
          <w:rFonts w:ascii="Times New Roman" w:hAnsi="Times New Roman" w:cs="Times New Roman"/>
          <w:lang w:val="ru-RU"/>
        </w:rPr>
        <w:t>7</w:t>
      </w:r>
      <w:r w:rsidRPr="00BF4455">
        <w:rPr>
          <w:rFonts w:ascii="Times New Roman" w:hAnsi="Times New Roman" w:cs="Times New Roman"/>
          <w:lang w:val="ru-RU"/>
        </w:rPr>
        <w:t xml:space="preserve"> дана.</w:t>
      </w:r>
    </w:p>
    <w:p w14:paraId="63218D3B" w14:textId="0140C896"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ағын</w:t>
      </w:r>
      <w:proofErr w:type="spellEnd"/>
      <w:r w:rsidRPr="00BF4455">
        <w:rPr>
          <w:rFonts w:ascii="Times New Roman" w:hAnsi="Times New Roman" w:cs="Times New Roman"/>
          <w:lang w:val="ru-RU"/>
        </w:rPr>
        <w:t xml:space="preserve"> түрлендіргіштері-2</w:t>
      </w:r>
      <w:r w:rsidR="000A43B5">
        <w:rPr>
          <w:rFonts w:ascii="Times New Roman" w:hAnsi="Times New Roman" w:cs="Times New Roman"/>
          <w:lang w:val="ru-RU"/>
        </w:rPr>
        <w:t>8</w:t>
      </w:r>
      <w:r w:rsidRPr="00BF4455">
        <w:rPr>
          <w:rFonts w:ascii="Times New Roman" w:hAnsi="Times New Roman" w:cs="Times New Roman"/>
          <w:lang w:val="ru-RU"/>
        </w:rPr>
        <w:t xml:space="preserve"> дана.</w:t>
      </w:r>
    </w:p>
    <w:p w14:paraId="1933FAFC" w14:textId="3917E6A7"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стационарлық</w:t>
      </w:r>
      <w:proofErr w:type="spellEnd"/>
      <w:r w:rsidRPr="00BF4455">
        <w:rPr>
          <w:rFonts w:ascii="Times New Roman" w:hAnsi="Times New Roman" w:cs="Times New Roman"/>
          <w:lang w:val="ru-RU"/>
        </w:rPr>
        <w:t xml:space="preserve"> газ анализаторлары-15</w:t>
      </w:r>
      <w:r w:rsidR="000A43B5">
        <w:rPr>
          <w:rFonts w:ascii="Times New Roman" w:hAnsi="Times New Roman" w:cs="Times New Roman"/>
          <w:lang w:val="ru-RU"/>
        </w:rPr>
        <w:t>5</w:t>
      </w:r>
      <w:r w:rsidRPr="00BF4455">
        <w:rPr>
          <w:rFonts w:ascii="Times New Roman" w:hAnsi="Times New Roman" w:cs="Times New Roman"/>
          <w:lang w:val="ru-RU"/>
        </w:rPr>
        <w:t xml:space="preserve"> дана.</w:t>
      </w:r>
    </w:p>
    <w:p w14:paraId="7A305442" w14:textId="7A6801ED"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манометрлер-</w:t>
      </w:r>
      <w:r w:rsidR="000A43B5">
        <w:rPr>
          <w:rFonts w:ascii="Times New Roman" w:hAnsi="Times New Roman" w:cs="Times New Roman"/>
          <w:lang w:val="ru-RU"/>
        </w:rPr>
        <w:t>300</w:t>
      </w:r>
      <w:r w:rsidRPr="00BF4455">
        <w:rPr>
          <w:rFonts w:ascii="Times New Roman" w:hAnsi="Times New Roman" w:cs="Times New Roman"/>
          <w:lang w:val="ru-RU"/>
        </w:rPr>
        <w:t xml:space="preserve"> дана.</w:t>
      </w:r>
    </w:p>
    <w:p w14:paraId="2B1D6974" w14:textId="58FF4482"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термометрлер-</w:t>
      </w:r>
      <w:r w:rsidR="000A43B5">
        <w:rPr>
          <w:rFonts w:ascii="Times New Roman" w:hAnsi="Times New Roman" w:cs="Times New Roman"/>
          <w:lang w:val="ru-RU"/>
        </w:rPr>
        <w:t>55</w:t>
      </w:r>
      <w:r w:rsidRPr="00BF4455">
        <w:rPr>
          <w:rFonts w:ascii="Times New Roman" w:hAnsi="Times New Roman" w:cs="Times New Roman"/>
          <w:lang w:val="ru-RU"/>
        </w:rPr>
        <w:t xml:space="preserve"> дана.</w:t>
      </w:r>
    </w:p>
    <w:p w14:paraId="22635C30" w14:textId="387F5936"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ылғалдылық</w:t>
      </w:r>
      <w:proofErr w:type="spellEnd"/>
      <w:r w:rsidRPr="00BF4455">
        <w:rPr>
          <w:rFonts w:ascii="Times New Roman" w:hAnsi="Times New Roman" w:cs="Times New Roman"/>
          <w:lang w:val="ru-RU"/>
        </w:rPr>
        <w:t xml:space="preserve"> анализаторлары-3 дана.</w:t>
      </w:r>
    </w:p>
    <w:p w14:paraId="58D45722" w14:textId="53B6593F"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lastRenderedPageBreak/>
        <w:t>– газ хроматографы-2 дана.</w:t>
      </w:r>
    </w:p>
    <w:p w14:paraId="651F87F2" w14:textId="77777777"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электронды</w:t>
      </w:r>
      <w:proofErr w:type="spellEnd"/>
      <w:r w:rsidRPr="00BF4455">
        <w:rPr>
          <w:rFonts w:ascii="Times New Roman" w:hAnsi="Times New Roman" w:cs="Times New Roman"/>
          <w:lang w:val="ru-RU"/>
        </w:rPr>
        <w:t xml:space="preserve"> тахеометр-1 дана.</w:t>
      </w:r>
    </w:p>
    <w:p w14:paraId="05AF2B88" w14:textId="7105DA82"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оптикалық</w:t>
      </w:r>
      <w:proofErr w:type="spellEnd"/>
      <w:r w:rsidRPr="00BF4455">
        <w:rPr>
          <w:rFonts w:ascii="Times New Roman" w:hAnsi="Times New Roman" w:cs="Times New Roman"/>
          <w:lang w:val="ru-RU"/>
        </w:rPr>
        <w:t xml:space="preserve"> – </w:t>
      </w:r>
      <w:proofErr w:type="spellStart"/>
      <w:r w:rsidRPr="00BF4455">
        <w:rPr>
          <w:rFonts w:ascii="Times New Roman" w:hAnsi="Times New Roman" w:cs="Times New Roman"/>
          <w:lang w:val="ru-RU"/>
        </w:rPr>
        <w:t>механикалық</w:t>
      </w:r>
      <w:proofErr w:type="spellEnd"/>
      <w:r w:rsidRPr="00BF4455">
        <w:rPr>
          <w:rFonts w:ascii="Times New Roman" w:hAnsi="Times New Roman" w:cs="Times New Roman"/>
          <w:lang w:val="ru-RU"/>
        </w:rPr>
        <w:t xml:space="preserve"> деңгей-1 дана.</w:t>
      </w:r>
    </w:p>
    <w:p w14:paraId="2C25A100" w14:textId="77777777" w:rsidR="00D6709E"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флуоресцентті</w:t>
      </w:r>
      <w:proofErr w:type="spellEnd"/>
      <w:r w:rsidRPr="00BF4455">
        <w:rPr>
          <w:rFonts w:ascii="Times New Roman" w:hAnsi="Times New Roman" w:cs="Times New Roman"/>
          <w:lang w:val="ru-RU"/>
        </w:rPr>
        <w:t xml:space="preserve"> рентген спектрометрі-1 дана.</w:t>
      </w:r>
    </w:p>
    <w:p w14:paraId="2FFF08BC" w14:textId="7B0CFC5C" w:rsidR="00674DDB" w:rsidRPr="00BF4455" w:rsidRDefault="00D6709E" w:rsidP="00D6709E">
      <w:pPr>
        <w:ind w:left="709"/>
        <w:rPr>
          <w:rFonts w:ascii="Times New Roman" w:hAnsi="Times New Roman" w:cs="Times New Roman"/>
          <w:lang w:val="ru-RU"/>
        </w:rPr>
      </w:pPr>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портативті</w:t>
      </w:r>
      <w:proofErr w:type="spellEnd"/>
      <w:r w:rsidRPr="00BF4455">
        <w:rPr>
          <w:rFonts w:ascii="Times New Roman" w:hAnsi="Times New Roman" w:cs="Times New Roman"/>
          <w:lang w:val="ru-RU"/>
        </w:rPr>
        <w:t xml:space="preserve"> газ анализаторлары-63 дана.</w:t>
      </w:r>
    </w:p>
    <w:p w14:paraId="08529DC5" w14:textId="77777777" w:rsidR="00D6709E" w:rsidRPr="00BF4455" w:rsidRDefault="00D6709E" w:rsidP="00D6709E">
      <w:pPr>
        <w:ind w:left="709"/>
        <w:rPr>
          <w:rFonts w:ascii="Times New Roman" w:hAnsi="Times New Roman" w:cs="Times New Roman"/>
          <w:lang w:val="ru-RU"/>
        </w:rPr>
      </w:pPr>
    </w:p>
    <w:p w14:paraId="25FC1FC8" w14:textId="647B4137" w:rsidR="00FD0413" w:rsidRPr="00BF4455" w:rsidRDefault="00FD0413" w:rsidP="00FD0413">
      <w:pPr>
        <w:ind w:firstLine="720"/>
        <w:jc w:val="both"/>
        <w:rPr>
          <w:rFonts w:ascii="Times New Roman" w:hAnsi="Times New Roman" w:cs="Times New Roman"/>
          <w:lang w:val="ru-RU"/>
        </w:rPr>
      </w:pPr>
      <w:proofErr w:type="spellStart"/>
      <w:r w:rsidRPr="00BF4455">
        <w:rPr>
          <w:rFonts w:ascii="Times New Roman" w:hAnsi="Times New Roman" w:cs="Times New Roman"/>
          <w:lang w:val="ru-RU"/>
        </w:rPr>
        <w:t>Тапсырыс</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беруші</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өлшеу</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құралдарының</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санын</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жалпы</w:t>
      </w:r>
      <w:proofErr w:type="spellEnd"/>
      <w:r w:rsidRPr="00BF4455">
        <w:rPr>
          <w:rFonts w:ascii="Times New Roman" w:hAnsi="Times New Roman" w:cs="Times New Roman"/>
          <w:lang w:val="ru-RU"/>
        </w:rPr>
        <w:t xml:space="preserve"> номенклатура </w:t>
      </w:r>
      <w:proofErr w:type="spellStart"/>
      <w:r w:rsidRPr="00BF4455">
        <w:rPr>
          <w:rFonts w:ascii="Times New Roman" w:hAnsi="Times New Roman" w:cs="Times New Roman"/>
          <w:lang w:val="ru-RU"/>
        </w:rPr>
        <w:t>шеңберінде</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қайта</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бөлуге</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олардың</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санын</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көрсетілген</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тізбе</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шегінде</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өзгертуге</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мысалы</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аспаптардың</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бір</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түрінің</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санын</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көбейтуге</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және</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басқа</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түрінің</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санын</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азайтуға</w:t>
      </w:r>
      <w:proofErr w:type="spellEnd"/>
      <w:r w:rsidRPr="00BF4455">
        <w:rPr>
          <w:rFonts w:ascii="Times New Roman" w:hAnsi="Times New Roman" w:cs="Times New Roman"/>
          <w:lang w:val="ru-RU"/>
        </w:rPr>
        <w:t xml:space="preserve"> </w:t>
      </w:r>
      <w:proofErr w:type="spellStart"/>
      <w:r w:rsidRPr="00BF4455">
        <w:rPr>
          <w:rFonts w:ascii="Times New Roman" w:hAnsi="Times New Roman" w:cs="Times New Roman"/>
          <w:lang w:val="ru-RU"/>
        </w:rPr>
        <w:t>құқылы</w:t>
      </w:r>
      <w:proofErr w:type="spellEnd"/>
      <w:r w:rsidRPr="00BF4455">
        <w:rPr>
          <w:rFonts w:ascii="Times New Roman" w:hAnsi="Times New Roman" w:cs="Times New Roman"/>
          <w:lang w:val="ru-RU"/>
        </w:rPr>
        <w:t>.</w:t>
      </w:r>
    </w:p>
    <w:p w14:paraId="32B134B4" w14:textId="77777777" w:rsidR="001F5104" w:rsidRPr="00BF4455" w:rsidRDefault="001F5104" w:rsidP="007309DE">
      <w:pPr>
        <w:rPr>
          <w:rFonts w:ascii="Times New Roman" w:hAnsi="Times New Roman" w:cs="Times New Roman"/>
          <w:lang w:val="ru-RU"/>
        </w:rPr>
      </w:pPr>
    </w:p>
    <w:sectPr w:rsidR="001F5104" w:rsidRPr="00BF4455">
      <w:headerReference w:type="even" r:id="rId8"/>
      <w:headerReference w:type="default" r:id="rId9"/>
      <w:footerReference w:type="even" r:id="rId10"/>
      <w:footerReference w:type="default" r:id="rId1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C176" w14:textId="77777777" w:rsidR="00032B38" w:rsidRDefault="00032B38" w:rsidP="007309DE">
      <w:r>
        <w:separator/>
      </w:r>
    </w:p>
  </w:endnote>
  <w:endnote w:type="continuationSeparator" w:id="0">
    <w:p w14:paraId="5D283FA7" w14:textId="77777777" w:rsidR="00032B38" w:rsidRDefault="00032B38" w:rsidP="0073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4972" w14:textId="77777777" w:rsidR="00A730E2" w:rsidRDefault="00000000">
    <w:pPr>
      <w:spacing w:line="1" w:lineRule="exact"/>
    </w:pPr>
    <w:r>
      <w:rPr>
        <w:noProof/>
      </w:rPr>
      <mc:AlternateContent>
        <mc:Choice Requires="wps">
          <w:drawing>
            <wp:anchor distT="0" distB="0" distL="0" distR="0" simplePos="0" relativeHeight="251675648" behindDoc="1" locked="0" layoutInCell="1" allowOverlap="1" wp14:anchorId="28089B79" wp14:editId="6D4147CC">
              <wp:simplePos x="0" y="0"/>
              <wp:positionH relativeFrom="page">
                <wp:posOffset>457200</wp:posOffset>
              </wp:positionH>
              <wp:positionV relativeFrom="page">
                <wp:posOffset>10300335</wp:posOffset>
              </wp:positionV>
              <wp:extent cx="6644640" cy="460375"/>
              <wp:effectExtent l="0" t="0" r="0" b="0"/>
              <wp:wrapNone/>
              <wp:docPr id="323" name="Shape 323"/>
              <wp:cNvGraphicFramePr/>
              <a:graphic xmlns:a="http://schemas.openxmlformats.org/drawingml/2006/main">
                <a:graphicData uri="http://schemas.microsoft.com/office/word/2010/wordprocessingShape">
                  <wps:wsp>
                    <wps:cNvSpPr txBox="1"/>
                    <wps:spPr>
                      <a:xfrm>
                        <a:off x="0" y="0"/>
                        <a:ext cx="6644640" cy="460375"/>
                      </a:xfrm>
                      <a:prstGeom prst="rect">
                        <a:avLst/>
                      </a:prstGeom>
                      <a:noFill/>
                    </wps:spPr>
                    <wps:txbx>
                      <w:txbxContent>
                        <w:p w14:paraId="1F536AFB" w14:textId="77777777" w:rsidR="00A730E2" w:rsidRDefault="00000000">
                          <w:pPr>
                            <w:pStyle w:val="24"/>
                            <w:rPr>
                              <w:sz w:val="15"/>
                              <w:szCs w:val="15"/>
                            </w:rPr>
                          </w:pPr>
                          <w:r>
                            <w:rPr>
                              <w:color w:val="000000"/>
                              <w:sz w:val="15"/>
                              <w:szCs w:val="15"/>
                              <w:lang w:val="ru-RU" w:eastAsia="ru-RU" w:bidi="ru-RU"/>
                            </w:rPr>
                            <w:t xml:space="preserve">Осы </w:t>
                          </w:r>
                          <w:r>
                            <w:rPr>
                              <w:color w:val="000000"/>
                              <w:sz w:val="15"/>
                              <w:szCs w:val="15"/>
                              <w:lang w:val="kk-KZ" w:eastAsia="kk-KZ" w:bidi="kk-KZ"/>
                            </w:rPr>
                            <w:t xml:space="preserve">құжат «Электрондық құжат және электрондық цифрлық қолтаңба </w:t>
                          </w:r>
                          <w:r>
                            <w:rPr>
                              <w:color w:val="000000"/>
                              <w:sz w:val="15"/>
                              <w:szCs w:val="15"/>
                              <w:lang w:val="ru-RU" w:eastAsia="ru-RU" w:bidi="ru-RU"/>
                            </w:rPr>
                            <w:t xml:space="preserve">туралы» </w:t>
                          </w:r>
                          <w:r>
                            <w:rPr>
                              <w:color w:val="000000"/>
                              <w:sz w:val="15"/>
                              <w:szCs w:val="15"/>
                              <w:lang w:val="kk-KZ" w:eastAsia="kk-KZ" w:bidi="kk-KZ"/>
                            </w:rPr>
                            <w:t xml:space="preserve">Қазақстан Республикасының </w:t>
                          </w:r>
                          <w:r>
                            <w:rPr>
                              <w:color w:val="000000"/>
                              <w:sz w:val="15"/>
                              <w:szCs w:val="15"/>
                              <w:lang w:val="ru-RU" w:eastAsia="ru-RU" w:bidi="ru-RU"/>
                            </w:rPr>
                            <w:t xml:space="preserve">2003 </w:t>
                          </w:r>
                          <w:r>
                            <w:rPr>
                              <w:color w:val="000000"/>
                              <w:sz w:val="15"/>
                              <w:szCs w:val="15"/>
                              <w:lang w:val="kk-KZ" w:eastAsia="kk-KZ" w:bidi="kk-KZ"/>
                            </w:rPr>
                            <w:t xml:space="preserve">жылғы </w:t>
                          </w:r>
                          <w:r>
                            <w:rPr>
                              <w:color w:val="000000"/>
                              <w:sz w:val="15"/>
                              <w:szCs w:val="15"/>
                              <w:lang w:val="ru-RU" w:eastAsia="ru-RU" w:bidi="ru-RU"/>
                            </w:rPr>
                            <w:t xml:space="preserve">7 </w:t>
                          </w:r>
                          <w:r>
                            <w:rPr>
                              <w:color w:val="000000"/>
                              <w:sz w:val="15"/>
                              <w:szCs w:val="15"/>
                              <w:lang w:val="kk-KZ" w:eastAsia="kk-KZ" w:bidi="kk-KZ"/>
                            </w:rPr>
                            <w:t xml:space="preserve">қаңтардағы </w:t>
                          </w:r>
                          <w:r>
                            <w:rPr>
                              <w:color w:val="000000"/>
                              <w:sz w:val="15"/>
                              <w:szCs w:val="15"/>
                              <w:lang w:bidi="en-US"/>
                            </w:rPr>
                            <w:t xml:space="preserve">N 370-II </w:t>
                          </w:r>
                          <w:r>
                            <w:rPr>
                              <w:color w:val="000000"/>
                              <w:sz w:val="15"/>
                              <w:szCs w:val="15"/>
                              <w:lang w:val="kk-KZ" w:eastAsia="kk-KZ" w:bidi="kk-KZ"/>
                            </w:rPr>
                            <w:t xml:space="preserve">Заңы </w:t>
                          </w:r>
                          <w:r>
                            <w:rPr>
                              <w:color w:val="000000"/>
                              <w:sz w:val="15"/>
                              <w:szCs w:val="15"/>
                              <w:lang w:val="ru-RU" w:eastAsia="ru-RU" w:bidi="ru-RU"/>
                            </w:rPr>
                            <w:t xml:space="preserve">7 </w:t>
                          </w:r>
                          <w:r>
                            <w:rPr>
                              <w:color w:val="000000"/>
                              <w:sz w:val="15"/>
                              <w:szCs w:val="15"/>
                              <w:lang w:val="kk-KZ" w:eastAsia="kk-KZ" w:bidi="kk-KZ"/>
                            </w:rPr>
                            <w:t>бабының</w:t>
                          </w:r>
                        </w:p>
                        <w:p w14:paraId="5E3BDBCD" w14:textId="77777777" w:rsidR="00A730E2" w:rsidRDefault="00000000">
                          <w:pPr>
                            <w:pStyle w:val="24"/>
                            <w:rPr>
                              <w:sz w:val="15"/>
                              <w:szCs w:val="15"/>
                            </w:rPr>
                          </w:pPr>
                          <w:r w:rsidRPr="00FA0680">
                            <w:rPr>
                              <w:color w:val="000000"/>
                              <w:sz w:val="15"/>
                              <w:szCs w:val="15"/>
                              <w:lang w:val="kk-KZ" w:eastAsia="ru-RU" w:bidi="ru-RU"/>
                            </w:rPr>
                            <w:t xml:space="preserve">1 </w:t>
                          </w:r>
                          <w:r>
                            <w:rPr>
                              <w:color w:val="000000"/>
                              <w:sz w:val="15"/>
                              <w:szCs w:val="15"/>
                              <w:lang w:val="kk-KZ" w:eastAsia="kk-KZ" w:bidi="kk-KZ"/>
                            </w:rPr>
                            <w:t>тармағына сәйкес қағаз тасығыштағы құжатпен бірдей</w:t>
                          </w:r>
                        </w:p>
                        <w:p w14:paraId="396C1F4A" w14:textId="77777777" w:rsidR="00A730E2" w:rsidRPr="007309DE" w:rsidRDefault="00000000">
                          <w:pPr>
                            <w:pStyle w:val="24"/>
                            <w:rPr>
                              <w:sz w:val="15"/>
                              <w:szCs w:val="15"/>
                              <w:lang w:val="ru-RU"/>
                            </w:rPr>
                          </w:pPr>
                          <w:r>
                            <w:rPr>
                              <w:color w:val="000000"/>
                              <w:sz w:val="15"/>
                              <w:szCs w:val="15"/>
                              <w:lang w:val="ru-RU" w:eastAsia="ru-RU" w:bidi="ru-RU"/>
                            </w:rPr>
                            <w:t xml:space="preserve">Данный документ согласно пункту 1 статьи 7 ЗРК от 7 января 2003 года </w:t>
                          </w:r>
                          <w:r>
                            <w:rPr>
                              <w:color w:val="000000"/>
                              <w:sz w:val="15"/>
                              <w:szCs w:val="15"/>
                              <w:lang w:bidi="en-US"/>
                            </w:rPr>
                            <w:t>N</w:t>
                          </w:r>
                          <w:r w:rsidRPr="00FA0680">
                            <w:rPr>
                              <w:color w:val="000000"/>
                              <w:sz w:val="15"/>
                              <w:szCs w:val="15"/>
                              <w:lang w:val="ru-RU" w:bidi="en-US"/>
                            </w:rPr>
                            <w:t>370-</w:t>
                          </w:r>
                          <w:r>
                            <w:rPr>
                              <w:color w:val="000000"/>
                              <w:sz w:val="15"/>
                              <w:szCs w:val="15"/>
                              <w:lang w:bidi="en-US"/>
                            </w:rPr>
                            <w:t>II</w:t>
                          </w:r>
                          <w:r w:rsidRPr="00FA0680">
                            <w:rPr>
                              <w:color w:val="000000"/>
                              <w:sz w:val="15"/>
                              <w:szCs w:val="15"/>
                              <w:lang w:val="ru-RU" w:bidi="en-US"/>
                            </w:rPr>
                            <w:t xml:space="preserve"> </w:t>
                          </w:r>
                          <w:r>
                            <w:rPr>
                              <w:color w:val="000000"/>
                              <w:sz w:val="15"/>
                              <w:szCs w:val="15"/>
                              <w:lang w:val="ru-RU" w:eastAsia="ru-RU" w:bidi="ru-RU"/>
                            </w:rPr>
                            <w:t>«Об электронном документе и электронной цифровой подписи» равнозначен</w:t>
                          </w:r>
                        </w:p>
                        <w:p w14:paraId="03F92F3B" w14:textId="77777777" w:rsidR="00A730E2" w:rsidRDefault="00000000">
                          <w:pPr>
                            <w:pStyle w:val="24"/>
                            <w:rPr>
                              <w:sz w:val="15"/>
                              <w:szCs w:val="15"/>
                            </w:rPr>
                          </w:pPr>
                          <w:r>
                            <w:rPr>
                              <w:color w:val="000000"/>
                              <w:sz w:val="15"/>
                              <w:szCs w:val="15"/>
                              <w:lang w:val="ru-RU" w:eastAsia="ru-RU" w:bidi="ru-RU"/>
                            </w:rPr>
                            <w:t>документу на бумажном носителе</w:t>
                          </w:r>
                        </w:p>
                      </w:txbxContent>
                    </wps:txbx>
                    <wps:bodyPr wrap="none" lIns="0" tIns="0" rIns="0" bIns="0">
                      <a:spAutoFit/>
                    </wps:bodyPr>
                  </wps:wsp>
                </a:graphicData>
              </a:graphic>
            </wp:anchor>
          </w:drawing>
        </mc:Choice>
        <mc:Fallback>
          <w:pict>
            <v:shapetype w14:anchorId="28089B79" id="_x0000_t202" coordsize="21600,21600" o:spt="202" path="m,l,21600r21600,l21600,xe">
              <v:stroke joinstyle="miter"/>
              <v:path gradientshapeok="t" o:connecttype="rect"/>
            </v:shapetype>
            <v:shape id="Shape 323" o:spid="_x0000_s1029" type="#_x0000_t202" style="position:absolute;margin-left:36pt;margin-top:811.05pt;width:523.2pt;height:36.2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" filled="f" stroked="f">
              <v:textbox style="mso-fit-shape-to-text:t" inset="0,0,0,0">
                <w:txbxContent>
                  <w:p w14:paraId="1F536AFB" w14:textId="77777777" w:rsidR="00A730E2" w:rsidRDefault="00000000">
                    <w:pPr>
                      <w:pStyle w:val="24"/>
                      <w:rPr>
                        <w:sz w:val="15"/>
                        <w:szCs w:val="15"/>
                      </w:rPr>
                    </w:pPr>
                    <w:r>
                      <w:rPr>
                        <w:color w:val="000000"/>
                        <w:sz w:val="15"/>
                        <w:szCs w:val="15"/>
                        <w:lang w:val="ru-RU" w:eastAsia="ru-RU" w:bidi="ru-RU"/>
                      </w:rPr>
                      <w:t xml:space="preserve">Осы </w:t>
                    </w:r>
                    <w:r>
                      <w:rPr>
                        <w:color w:val="000000"/>
                        <w:sz w:val="15"/>
                        <w:szCs w:val="15"/>
                        <w:lang w:val="kk-KZ" w:eastAsia="kk-KZ" w:bidi="kk-KZ"/>
                      </w:rPr>
                      <w:t xml:space="preserve">құжат «Электрондық құжат және электрондық цифрлық қолтаңба </w:t>
                    </w:r>
                    <w:r>
                      <w:rPr>
                        <w:color w:val="000000"/>
                        <w:sz w:val="15"/>
                        <w:szCs w:val="15"/>
                        <w:lang w:val="ru-RU" w:eastAsia="ru-RU" w:bidi="ru-RU"/>
                      </w:rPr>
                      <w:t xml:space="preserve">туралы» </w:t>
                    </w:r>
                    <w:r>
                      <w:rPr>
                        <w:color w:val="000000"/>
                        <w:sz w:val="15"/>
                        <w:szCs w:val="15"/>
                        <w:lang w:val="kk-KZ" w:eastAsia="kk-KZ" w:bidi="kk-KZ"/>
                      </w:rPr>
                      <w:t xml:space="preserve">Қазақстан Республикасының </w:t>
                    </w:r>
                    <w:r>
                      <w:rPr>
                        <w:color w:val="000000"/>
                        <w:sz w:val="15"/>
                        <w:szCs w:val="15"/>
                        <w:lang w:val="ru-RU" w:eastAsia="ru-RU" w:bidi="ru-RU"/>
                      </w:rPr>
                      <w:t xml:space="preserve">2003 </w:t>
                    </w:r>
                    <w:r>
                      <w:rPr>
                        <w:color w:val="000000"/>
                        <w:sz w:val="15"/>
                        <w:szCs w:val="15"/>
                        <w:lang w:val="kk-KZ" w:eastAsia="kk-KZ" w:bidi="kk-KZ"/>
                      </w:rPr>
                      <w:t xml:space="preserve">жылғы </w:t>
                    </w:r>
                    <w:r>
                      <w:rPr>
                        <w:color w:val="000000"/>
                        <w:sz w:val="15"/>
                        <w:szCs w:val="15"/>
                        <w:lang w:val="ru-RU" w:eastAsia="ru-RU" w:bidi="ru-RU"/>
                      </w:rPr>
                      <w:t xml:space="preserve">7 </w:t>
                    </w:r>
                    <w:r>
                      <w:rPr>
                        <w:color w:val="000000"/>
                        <w:sz w:val="15"/>
                        <w:szCs w:val="15"/>
                        <w:lang w:val="kk-KZ" w:eastAsia="kk-KZ" w:bidi="kk-KZ"/>
                      </w:rPr>
                      <w:t xml:space="preserve">қаңтардағы </w:t>
                    </w:r>
                    <w:r>
                      <w:rPr>
                        <w:color w:val="000000"/>
                        <w:sz w:val="15"/>
                        <w:szCs w:val="15"/>
                        <w:lang w:bidi="en-US"/>
                      </w:rPr>
                      <w:t xml:space="preserve">N 370-II </w:t>
                    </w:r>
                    <w:r>
                      <w:rPr>
                        <w:color w:val="000000"/>
                        <w:sz w:val="15"/>
                        <w:szCs w:val="15"/>
                        <w:lang w:val="kk-KZ" w:eastAsia="kk-KZ" w:bidi="kk-KZ"/>
                      </w:rPr>
                      <w:t xml:space="preserve">Заңы </w:t>
                    </w:r>
                    <w:r>
                      <w:rPr>
                        <w:color w:val="000000"/>
                        <w:sz w:val="15"/>
                        <w:szCs w:val="15"/>
                        <w:lang w:val="ru-RU" w:eastAsia="ru-RU" w:bidi="ru-RU"/>
                      </w:rPr>
                      <w:t xml:space="preserve">7 </w:t>
                    </w:r>
                    <w:r>
                      <w:rPr>
                        <w:color w:val="000000"/>
                        <w:sz w:val="15"/>
                        <w:szCs w:val="15"/>
                        <w:lang w:val="kk-KZ" w:eastAsia="kk-KZ" w:bidi="kk-KZ"/>
                      </w:rPr>
                      <w:t>бабының</w:t>
                    </w:r>
                  </w:p>
                  <w:p w14:paraId="5E3BDBCD" w14:textId="77777777" w:rsidR="00A730E2" w:rsidRDefault="00000000">
                    <w:pPr>
                      <w:pStyle w:val="24"/>
                      <w:rPr>
                        <w:sz w:val="15"/>
                        <w:szCs w:val="15"/>
                      </w:rPr>
                    </w:pPr>
                    <w:r w:rsidRPr="00FA0680">
                      <w:rPr>
                        <w:color w:val="000000"/>
                        <w:sz w:val="15"/>
                        <w:szCs w:val="15"/>
                        <w:lang w:val="kk-KZ" w:eastAsia="ru-RU" w:bidi="ru-RU"/>
                      </w:rPr>
                      <w:t xml:space="preserve">1 </w:t>
                    </w:r>
                    <w:r>
                      <w:rPr>
                        <w:color w:val="000000"/>
                        <w:sz w:val="15"/>
                        <w:szCs w:val="15"/>
                        <w:lang w:val="kk-KZ" w:eastAsia="kk-KZ" w:bidi="kk-KZ"/>
                      </w:rPr>
                      <w:t>тармағына сәйкес қағаз тасығыштағы құжатпен бірдей</w:t>
                    </w:r>
                  </w:p>
                  <w:p w14:paraId="396C1F4A" w14:textId="77777777" w:rsidR="00A730E2" w:rsidRPr="007309DE" w:rsidRDefault="00000000">
                    <w:pPr>
                      <w:pStyle w:val="24"/>
                      <w:rPr>
                        <w:sz w:val="15"/>
                        <w:szCs w:val="15"/>
                        <w:lang w:val="ru-RU"/>
                      </w:rPr>
                    </w:pPr>
                    <w:r>
                      <w:rPr>
                        <w:color w:val="000000"/>
                        <w:sz w:val="15"/>
                        <w:szCs w:val="15"/>
                        <w:lang w:val="ru-RU" w:eastAsia="ru-RU" w:bidi="ru-RU"/>
                      </w:rPr>
                      <w:t xml:space="preserve">Данный документ согласно пункту 1 статьи 7 ЗРК от 7 января 2003 года </w:t>
                    </w:r>
                    <w:r>
                      <w:rPr>
                        <w:color w:val="000000"/>
                        <w:sz w:val="15"/>
                        <w:szCs w:val="15"/>
                        <w:lang w:bidi="en-US"/>
                      </w:rPr>
                      <w:t>N</w:t>
                    </w:r>
                    <w:r w:rsidRPr="00FA0680">
                      <w:rPr>
                        <w:color w:val="000000"/>
                        <w:sz w:val="15"/>
                        <w:szCs w:val="15"/>
                        <w:lang w:val="ru-RU" w:bidi="en-US"/>
                      </w:rPr>
                      <w:t>370-</w:t>
                    </w:r>
                    <w:r>
                      <w:rPr>
                        <w:color w:val="000000"/>
                        <w:sz w:val="15"/>
                        <w:szCs w:val="15"/>
                        <w:lang w:bidi="en-US"/>
                      </w:rPr>
                      <w:t>II</w:t>
                    </w:r>
                    <w:r w:rsidRPr="00FA0680">
                      <w:rPr>
                        <w:color w:val="000000"/>
                        <w:sz w:val="15"/>
                        <w:szCs w:val="15"/>
                        <w:lang w:val="ru-RU" w:bidi="en-US"/>
                      </w:rPr>
                      <w:t xml:space="preserve"> </w:t>
                    </w:r>
                    <w:r>
                      <w:rPr>
                        <w:color w:val="000000"/>
                        <w:sz w:val="15"/>
                        <w:szCs w:val="15"/>
                        <w:lang w:val="ru-RU" w:eastAsia="ru-RU" w:bidi="ru-RU"/>
                      </w:rPr>
                      <w:t>«Об электронном документе и электронной цифровой подписи» равнозначен</w:t>
                    </w:r>
                  </w:p>
                  <w:p w14:paraId="03F92F3B" w14:textId="77777777" w:rsidR="00A730E2" w:rsidRDefault="00000000">
                    <w:pPr>
                      <w:pStyle w:val="24"/>
                      <w:rPr>
                        <w:sz w:val="15"/>
                        <w:szCs w:val="15"/>
                      </w:rPr>
                    </w:pPr>
                    <w:r>
                      <w:rPr>
                        <w:color w:val="000000"/>
                        <w:sz w:val="15"/>
                        <w:szCs w:val="15"/>
                        <w:lang w:val="ru-RU" w:eastAsia="ru-RU" w:bidi="ru-RU"/>
                      </w:rPr>
                      <w:t>документу на бумажном носителе</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BDA1" w14:textId="77777777" w:rsidR="00A730E2" w:rsidRDefault="00A730E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E652" w14:textId="77777777" w:rsidR="00032B38" w:rsidRDefault="00032B38" w:rsidP="007309DE">
      <w:r>
        <w:separator/>
      </w:r>
    </w:p>
  </w:footnote>
  <w:footnote w:type="continuationSeparator" w:id="0">
    <w:p w14:paraId="07CCE71C" w14:textId="77777777" w:rsidR="00032B38" w:rsidRDefault="00032B38" w:rsidP="00730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5D42" w14:textId="77777777" w:rsidR="00A730E2" w:rsidRDefault="00000000">
    <w:pPr>
      <w:spacing w:line="1" w:lineRule="exact"/>
    </w:pPr>
    <w:r>
      <w:rPr>
        <w:noProof/>
      </w:rPr>
      <mc:AlternateContent>
        <mc:Choice Requires="wps">
          <w:drawing>
            <wp:anchor distT="0" distB="0" distL="0" distR="0" simplePos="0" relativeHeight="251672576" behindDoc="1" locked="0" layoutInCell="1" allowOverlap="1" wp14:anchorId="65C6E2C6" wp14:editId="19F6AA1D">
              <wp:simplePos x="0" y="0"/>
              <wp:positionH relativeFrom="page">
                <wp:posOffset>6282055</wp:posOffset>
              </wp:positionH>
              <wp:positionV relativeFrom="page">
                <wp:posOffset>386715</wp:posOffset>
              </wp:positionV>
              <wp:extent cx="621665" cy="213360"/>
              <wp:effectExtent l="0" t="0" r="0" b="0"/>
              <wp:wrapNone/>
              <wp:docPr id="315" name="Shape 315"/>
              <wp:cNvGraphicFramePr/>
              <a:graphic xmlns:a="http://schemas.openxmlformats.org/drawingml/2006/main">
                <a:graphicData uri="http://schemas.microsoft.com/office/word/2010/wordprocessingShape">
                  <wps:wsp>
                    <wps:cNvSpPr txBox="1"/>
                    <wps:spPr>
                      <a:xfrm>
                        <a:off x="0" y="0"/>
                        <a:ext cx="621665" cy="213360"/>
                      </a:xfrm>
                      <a:prstGeom prst="rect">
                        <a:avLst/>
                      </a:prstGeom>
                      <a:noFill/>
                    </wps:spPr>
                    <wps:txbx>
                      <w:txbxContent>
                        <w:p w14:paraId="399BFE4E" w14:textId="77777777" w:rsidR="00A730E2" w:rsidRDefault="00000000">
                          <w:pPr>
                            <w:pStyle w:val="24"/>
                            <w:rPr>
                              <w:sz w:val="26"/>
                              <w:szCs w:val="26"/>
                            </w:rPr>
                          </w:pPr>
                          <w:r>
                            <w:rPr>
                              <w:rFonts w:ascii="Arial" w:eastAsia="Arial" w:hAnsi="Arial" w:cs="Arial"/>
                              <w:color w:val="000000"/>
                              <w:sz w:val="26"/>
                              <w:szCs w:val="26"/>
                              <w:lang w:bidi="en-US"/>
                            </w:rPr>
                            <w:t>Illllllllllllll</w:t>
                          </w:r>
                        </w:p>
                      </w:txbxContent>
                    </wps:txbx>
                    <wps:bodyPr wrap="none" lIns="0" tIns="0" rIns="0" bIns="0">
                      <a:spAutoFit/>
                    </wps:bodyPr>
                  </wps:wsp>
                </a:graphicData>
              </a:graphic>
            </wp:anchor>
          </w:drawing>
        </mc:Choice>
        <mc:Fallback>
          <w:pict>
            <v:shapetype w14:anchorId="65C6E2C6" id="_x0000_t202" coordsize="21600,21600" o:spt="202" path="m,l,21600r21600,l21600,xe">
              <v:stroke joinstyle="miter"/>
              <v:path gradientshapeok="t" o:connecttype="rect"/>
            </v:shapetype>
            <v:shape id="Shape 315" o:spid="_x0000_s1026" type="#_x0000_t202" style="position:absolute;margin-left:494.65pt;margin-top:30.45pt;width:48.95pt;height:16.8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" filled="f" stroked="f">
              <v:textbox style="mso-fit-shape-to-text:t" inset="0,0,0,0">
                <w:txbxContent>
                  <w:p w14:paraId="399BFE4E" w14:textId="77777777" w:rsidR="00A730E2" w:rsidRDefault="00000000">
                    <w:pPr>
                      <w:pStyle w:val="24"/>
                      <w:rPr>
                        <w:sz w:val="26"/>
                        <w:szCs w:val="26"/>
                      </w:rPr>
                    </w:pPr>
                    <w:r>
                      <w:rPr>
                        <w:rFonts w:ascii="Arial" w:eastAsia="Arial" w:hAnsi="Arial" w:cs="Arial"/>
                        <w:color w:val="000000"/>
                        <w:sz w:val="26"/>
                        <w:szCs w:val="26"/>
                        <w:lang w:bidi="en-US"/>
                      </w:rPr>
                      <w:t>Illllllllllllll</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26E8C865" wp14:editId="4B5C8476">
              <wp:simplePos x="0" y="0"/>
              <wp:positionH relativeFrom="page">
                <wp:posOffset>280670</wp:posOffset>
              </wp:positionH>
              <wp:positionV relativeFrom="page">
                <wp:posOffset>389890</wp:posOffset>
              </wp:positionV>
              <wp:extent cx="328930" cy="316865"/>
              <wp:effectExtent l="0" t="0" r="0" b="0"/>
              <wp:wrapNone/>
              <wp:docPr id="317" name="Shape 317"/>
              <wp:cNvGraphicFramePr/>
              <a:graphic xmlns:a="http://schemas.openxmlformats.org/drawingml/2006/main">
                <a:graphicData uri="http://schemas.microsoft.com/office/word/2010/wordprocessingShape">
                  <wps:wsp>
                    <wps:cNvSpPr txBox="1"/>
                    <wps:spPr>
                      <a:xfrm>
                        <a:off x="0" y="0"/>
                        <a:ext cx="328930" cy="316865"/>
                      </a:xfrm>
                      <a:prstGeom prst="rect">
                        <a:avLst/>
                      </a:prstGeom>
                      <a:noFill/>
                    </wps:spPr>
                    <wps:txbx>
                      <w:txbxContent>
                        <w:p w14:paraId="01404B97" w14:textId="77777777" w:rsidR="00A730E2" w:rsidRDefault="00000000">
                          <w:pPr>
                            <w:rPr>
                              <w:sz w:val="2"/>
                              <w:szCs w:val="2"/>
                            </w:rPr>
                          </w:pPr>
                          <w:r>
                            <w:rPr>
                              <w:noProof/>
                            </w:rPr>
                            <w:drawing>
                              <wp:inline distT="0" distB="0" distL="0" distR="0" wp14:anchorId="1D57F485" wp14:editId="524C563D">
                                <wp:extent cx="328930" cy="316865"/>
                                <wp:effectExtent l="0" t="0" r="0" b="0"/>
                                <wp:docPr id="802282738" name="Picut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1"/>
                                        <a:stretch/>
                                      </pic:blipFill>
                                      <pic:spPr>
                                        <a:xfrm>
                                          <a:off x="0" y="0"/>
                                          <a:ext cx="328930" cy="316865"/>
                                        </a:xfrm>
                                        <a:prstGeom prst="rect">
                                          <a:avLst/>
                                        </a:prstGeom>
                                      </pic:spPr>
                                    </pic:pic>
                                  </a:graphicData>
                                </a:graphic>
                              </wp:inline>
                            </w:drawing>
                          </w:r>
                        </w:p>
                      </w:txbxContent>
                    </wps:txbx>
                    <wps:bodyPr lIns="0" tIns="0" rIns="0" bIns="0"/>
                  </wps:wsp>
                </a:graphicData>
              </a:graphic>
            </wp:anchor>
          </w:drawing>
        </mc:Choice>
        <mc:Fallback>
          <w:pict>
            <v:shape w14:anchorId="26E8C865" id="Shape 317" o:spid="_x0000_s1027" type="#_x0000_t202" style="position:absolute;margin-left:22.1pt;margin-top:30.7pt;width:25.9pt;height:24.9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" filled="f" stroked="f">
              <v:textbox inset="0,0,0,0">
                <w:txbxContent>
                  <w:p w14:paraId="01404B97" w14:textId="77777777" w:rsidR="00A730E2" w:rsidRDefault="00000000">
                    <w:pPr>
                      <w:rPr>
                        <w:sz w:val="2"/>
                        <w:szCs w:val="2"/>
                      </w:rPr>
                    </w:pPr>
                    <w:r>
                      <w:rPr>
                        <w:noProof/>
                      </w:rPr>
                      <w:drawing>
                        <wp:inline distT="0" distB="0" distL="0" distR="0" wp14:anchorId="1D57F485" wp14:editId="524C563D">
                          <wp:extent cx="328930" cy="316865"/>
                          <wp:effectExtent l="0" t="0" r="0" b="0"/>
                          <wp:docPr id="802282738" name="Picut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2"/>
                                  <a:stretch/>
                                </pic:blipFill>
                                <pic:spPr>
                                  <a:xfrm>
                                    <a:off x="0" y="0"/>
                                    <a:ext cx="328930" cy="3168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37527E6E" wp14:editId="72C91A73">
              <wp:simplePos x="0" y="0"/>
              <wp:positionH relativeFrom="page">
                <wp:posOffset>948055</wp:posOffset>
              </wp:positionH>
              <wp:positionV relativeFrom="page">
                <wp:posOffset>441960</wp:posOffset>
              </wp:positionV>
              <wp:extent cx="2304415" cy="152400"/>
              <wp:effectExtent l="0" t="0" r="0" b="0"/>
              <wp:wrapNone/>
              <wp:docPr id="321" name="Shape 321"/>
              <wp:cNvGraphicFramePr/>
              <a:graphic xmlns:a="http://schemas.openxmlformats.org/drawingml/2006/main">
                <a:graphicData uri="http://schemas.microsoft.com/office/word/2010/wordprocessingShape">
                  <wps:wsp>
                    <wps:cNvSpPr txBox="1"/>
                    <wps:spPr>
                      <a:xfrm>
                        <a:off x="0" y="0"/>
                        <a:ext cx="2304415" cy="152400"/>
                      </a:xfrm>
                      <a:prstGeom prst="rect">
                        <a:avLst/>
                      </a:prstGeom>
                      <a:noFill/>
                    </wps:spPr>
                    <wps:txbx>
                      <w:txbxContent>
                        <w:p w14:paraId="55954208" w14:textId="77777777" w:rsidR="00A730E2" w:rsidRDefault="00000000">
                          <w:pPr>
                            <w:pStyle w:val="24"/>
                            <w:rPr>
                              <w:sz w:val="10"/>
                              <w:szCs w:val="10"/>
                            </w:rPr>
                          </w:pPr>
                          <w:r>
                            <w:rPr>
                              <w:color w:val="000000"/>
                              <w:sz w:val="10"/>
                              <w:szCs w:val="10"/>
                              <w:lang w:val="kk-KZ" w:eastAsia="kk-KZ" w:bidi="kk-KZ"/>
                            </w:rPr>
                            <w:t>Құжат «Самұрық-Қазына» ӘАҚ» АҚ электронды порталымен қүрылған</w:t>
                          </w:r>
                        </w:p>
                        <w:p w14:paraId="5A130339" w14:textId="77777777" w:rsidR="00A730E2" w:rsidRPr="007309DE" w:rsidRDefault="00000000">
                          <w:pPr>
                            <w:pStyle w:val="24"/>
                            <w:rPr>
                              <w:sz w:val="10"/>
                              <w:szCs w:val="10"/>
                              <w:lang w:val="ru-RU"/>
                            </w:rPr>
                          </w:pPr>
                          <w:r>
                            <w:rPr>
                              <w:color w:val="000000"/>
                              <w:sz w:val="10"/>
                              <w:szCs w:val="10"/>
                              <w:lang w:val="kk-KZ" w:eastAsia="kk-KZ" w:bidi="kk-KZ"/>
                            </w:rPr>
                            <w:t>Документ сформирован порталом электронных закупок АО «ФНБ «Самрук-Казына»</w:t>
                          </w:r>
                        </w:p>
                      </w:txbxContent>
                    </wps:txbx>
                    <wps:bodyPr wrap="none" lIns="0" tIns="0" rIns="0" bIns="0">
                      <a:spAutoFit/>
                    </wps:bodyPr>
                  </wps:wsp>
                </a:graphicData>
              </a:graphic>
            </wp:anchor>
          </w:drawing>
        </mc:Choice>
        <mc:Fallback>
          <w:pict>
            <v:shape w14:anchorId="37527E6E" id="Shape 321" o:spid="_x0000_s1028" type="#_x0000_t202" style="position:absolute;margin-left:74.65pt;margin-top:34.8pt;width:181.45pt;height:12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40hwEAAAcDAAAOAAAAZHJzL2Uyb0RvYy54bWysUttOwzAMfUfiH6K8s3Zj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" filled="f" stroked="f">
              <v:textbox style="mso-fit-shape-to-text:t" inset="0,0,0,0">
                <w:txbxContent>
                  <w:p w14:paraId="55954208" w14:textId="77777777" w:rsidR="00A730E2" w:rsidRDefault="00000000">
                    <w:pPr>
                      <w:pStyle w:val="24"/>
                      <w:rPr>
                        <w:sz w:val="10"/>
                        <w:szCs w:val="10"/>
                      </w:rPr>
                    </w:pPr>
                    <w:r>
                      <w:rPr>
                        <w:color w:val="000000"/>
                        <w:sz w:val="10"/>
                        <w:szCs w:val="10"/>
                        <w:lang w:val="kk-KZ" w:eastAsia="kk-KZ" w:bidi="kk-KZ"/>
                      </w:rPr>
                      <w:t>Құжат «Самұрық-Қазына» ӘАҚ» АҚ электронды порталымен қүрылған</w:t>
                    </w:r>
                  </w:p>
                  <w:p w14:paraId="5A130339" w14:textId="77777777" w:rsidR="00A730E2" w:rsidRPr="007309DE" w:rsidRDefault="00000000">
                    <w:pPr>
                      <w:pStyle w:val="24"/>
                      <w:rPr>
                        <w:sz w:val="10"/>
                        <w:szCs w:val="10"/>
                        <w:lang w:val="ru-RU"/>
                      </w:rPr>
                    </w:pPr>
                    <w:r>
                      <w:rPr>
                        <w:color w:val="000000"/>
                        <w:sz w:val="10"/>
                        <w:szCs w:val="10"/>
                        <w:lang w:val="kk-KZ" w:eastAsia="kk-KZ" w:bidi="kk-KZ"/>
                      </w:rPr>
                      <w:t>Документ сформирован порталом электронных закупок АО «ФНБ «Самрук-Казына»</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11F9" w14:textId="77777777" w:rsidR="00A730E2" w:rsidRDefault="00A730E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9ED"/>
    <w:multiLevelType w:val="multilevel"/>
    <w:tmpl w:val="81A87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7084E"/>
    <w:multiLevelType w:val="multilevel"/>
    <w:tmpl w:val="908E0F6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280AE1"/>
    <w:multiLevelType w:val="multilevel"/>
    <w:tmpl w:val="39C0C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473C7"/>
    <w:multiLevelType w:val="multilevel"/>
    <w:tmpl w:val="E12AC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BE0AD8"/>
    <w:multiLevelType w:val="multilevel"/>
    <w:tmpl w:val="6F8CB44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BF59A3"/>
    <w:multiLevelType w:val="hybridMultilevel"/>
    <w:tmpl w:val="6EC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391482">
    <w:abstractNumId w:val="2"/>
  </w:num>
  <w:num w:numId="2" w16cid:durableId="1897348361">
    <w:abstractNumId w:val="1"/>
  </w:num>
  <w:num w:numId="3" w16cid:durableId="421679206">
    <w:abstractNumId w:val="4"/>
  </w:num>
  <w:num w:numId="4" w16cid:durableId="750809488">
    <w:abstractNumId w:val="0"/>
  </w:num>
  <w:num w:numId="5" w16cid:durableId="505557626">
    <w:abstractNumId w:val="3"/>
  </w:num>
  <w:num w:numId="6" w16cid:durableId="618336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31"/>
    <w:rsid w:val="00003863"/>
    <w:rsid w:val="00023489"/>
    <w:rsid w:val="00032B38"/>
    <w:rsid w:val="00033937"/>
    <w:rsid w:val="00055C17"/>
    <w:rsid w:val="0005622E"/>
    <w:rsid w:val="00062348"/>
    <w:rsid w:val="00065380"/>
    <w:rsid w:val="00091013"/>
    <w:rsid w:val="00097E9A"/>
    <w:rsid w:val="000A1DFD"/>
    <w:rsid w:val="000A43B5"/>
    <w:rsid w:val="000A5968"/>
    <w:rsid w:val="000B1B88"/>
    <w:rsid w:val="000C7FDF"/>
    <w:rsid w:val="000E0443"/>
    <w:rsid w:val="000F5263"/>
    <w:rsid w:val="000F721F"/>
    <w:rsid w:val="00110AD7"/>
    <w:rsid w:val="001212B6"/>
    <w:rsid w:val="00126740"/>
    <w:rsid w:val="001271F3"/>
    <w:rsid w:val="001474CE"/>
    <w:rsid w:val="0016597E"/>
    <w:rsid w:val="0016780E"/>
    <w:rsid w:val="001818E7"/>
    <w:rsid w:val="001917F9"/>
    <w:rsid w:val="0019497C"/>
    <w:rsid w:val="001C52F2"/>
    <w:rsid w:val="001C5BED"/>
    <w:rsid w:val="001D541A"/>
    <w:rsid w:val="001F4285"/>
    <w:rsid w:val="001F5104"/>
    <w:rsid w:val="00202C86"/>
    <w:rsid w:val="00207F2D"/>
    <w:rsid w:val="0024059B"/>
    <w:rsid w:val="00256E30"/>
    <w:rsid w:val="0026031F"/>
    <w:rsid w:val="00266256"/>
    <w:rsid w:val="00271F7B"/>
    <w:rsid w:val="002D3893"/>
    <w:rsid w:val="002D5FE8"/>
    <w:rsid w:val="002E3D2B"/>
    <w:rsid w:val="002F144E"/>
    <w:rsid w:val="00310B4D"/>
    <w:rsid w:val="00323137"/>
    <w:rsid w:val="003435B7"/>
    <w:rsid w:val="00346596"/>
    <w:rsid w:val="00352981"/>
    <w:rsid w:val="00356D1B"/>
    <w:rsid w:val="00364CE8"/>
    <w:rsid w:val="0036681C"/>
    <w:rsid w:val="003746CD"/>
    <w:rsid w:val="00377289"/>
    <w:rsid w:val="003906D4"/>
    <w:rsid w:val="00391C2E"/>
    <w:rsid w:val="003A2201"/>
    <w:rsid w:val="003A6D79"/>
    <w:rsid w:val="003A6E31"/>
    <w:rsid w:val="003B7FA4"/>
    <w:rsid w:val="003C01ED"/>
    <w:rsid w:val="003C6CA2"/>
    <w:rsid w:val="003D0407"/>
    <w:rsid w:val="003D0427"/>
    <w:rsid w:val="00400072"/>
    <w:rsid w:val="00401D7C"/>
    <w:rsid w:val="00404DFE"/>
    <w:rsid w:val="004123D0"/>
    <w:rsid w:val="0041622A"/>
    <w:rsid w:val="0042430F"/>
    <w:rsid w:val="004417C5"/>
    <w:rsid w:val="00460BBF"/>
    <w:rsid w:val="004667EA"/>
    <w:rsid w:val="0047112C"/>
    <w:rsid w:val="0047509F"/>
    <w:rsid w:val="004A01C1"/>
    <w:rsid w:val="004B5EE9"/>
    <w:rsid w:val="004D2CA5"/>
    <w:rsid w:val="004E09C6"/>
    <w:rsid w:val="004E41BD"/>
    <w:rsid w:val="004F19B4"/>
    <w:rsid w:val="004F538F"/>
    <w:rsid w:val="00512D63"/>
    <w:rsid w:val="005201AA"/>
    <w:rsid w:val="005225C6"/>
    <w:rsid w:val="00527159"/>
    <w:rsid w:val="00536D6A"/>
    <w:rsid w:val="0054030D"/>
    <w:rsid w:val="005421A0"/>
    <w:rsid w:val="005451A7"/>
    <w:rsid w:val="00576F59"/>
    <w:rsid w:val="00581043"/>
    <w:rsid w:val="005853F9"/>
    <w:rsid w:val="00597577"/>
    <w:rsid w:val="005A0597"/>
    <w:rsid w:val="005A1610"/>
    <w:rsid w:val="005B19F4"/>
    <w:rsid w:val="005D2959"/>
    <w:rsid w:val="005D2EA3"/>
    <w:rsid w:val="005F64EE"/>
    <w:rsid w:val="006018FA"/>
    <w:rsid w:val="00604BC4"/>
    <w:rsid w:val="00617AB4"/>
    <w:rsid w:val="00617F26"/>
    <w:rsid w:val="00625AA1"/>
    <w:rsid w:val="006266FE"/>
    <w:rsid w:val="00637E23"/>
    <w:rsid w:val="006472F9"/>
    <w:rsid w:val="006552EA"/>
    <w:rsid w:val="006733BA"/>
    <w:rsid w:val="00674DDB"/>
    <w:rsid w:val="00681EED"/>
    <w:rsid w:val="00690AE0"/>
    <w:rsid w:val="006910A9"/>
    <w:rsid w:val="006A3E82"/>
    <w:rsid w:val="006A5E80"/>
    <w:rsid w:val="006B3280"/>
    <w:rsid w:val="006C506B"/>
    <w:rsid w:val="006C6D0B"/>
    <w:rsid w:val="00707B5D"/>
    <w:rsid w:val="00723CB2"/>
    <w:rsid w:val="007309DE"/>
    <w:rsid w:val="00753553"/>
    <w:rsid w:val="00753C6C"/>
    <w:rsid w:val="00761EEE"/>
    <w:rsid w:val="007748F9"/>
    <w:rsid w:val="007A4F8E"/>
    <w:rsid w:val="007A5D62"/>
    <w:rsid w:val="007D4FCC"/>
    <w:rsid w:val="007E03A2"/>
    <w:rsid w:val="00806040"/>
    <w:rsid w:val="0080664C"/>
    <w:rsid w:val="00820EE1"/>
    <w:rsid w:val="00824CB6"/>
    <w:rsid w:val="008454A2"/>
    <w:rsid w:val="00862AE5"/>
    <w:rsid w:val="008648F8"/>
    <w:rsid w:val="00882261"/>
    <w:rsid w:val="00892140"/>
    <w:rsid w:val="008A0758"/>
    <w:rsid w:val="008D7F2D"/>
    <w:rsid w:val="008E4A9B"/>
    <w:rsid w:val="008E6D29"/>
    <w:rsid w:val="008F782D"/>
    <w:rsid w:val="00906B96"/>
    <w:rsid w:val="00912C8F"/>
    <w:rsid w:val="00914F9D"/>
    <w:rsid w:val="009331AF"/>
    <w:rsid w:val="00936F5E"/>
    <w:rsid w:val="00955138"/>
    <w:rsid w:val="00972FF5"/>
    <w:rsid w:val="0098205F"/>
    <w:rsid w:val="009A3777"/>
    <w:rsid w:val="009B726E"/>
    <w:rsid w:val="009C580A"/>
    <w:rsid w:val="009E6460"/>
    <w:rsid w:val="009F58A6"/>
    <w:rsid w:val="009F6080"/>
    <w:rsid w:val="00A04CB1"/>
    <w:rsid w:val="00A139DF"/>
    <w:rsid w:val="00A30B1F"/>
    <w:rsid w:val="00A52110"/>
    <w:rsid w:val="00A606C7"/>
    <w:rsid w:val="00A71943"/>
    <w:rsid w:val="00A72CEE"/>
    <w:rsid w:val="00A730E2"/>
    <w:rsid w:val="00A73D66"/>
    <w:rsid w:val="00A80795"/>
    <w:rsid w:val="00A9305C"/>
    <w:rsid w:val="00A945F4"/>
    <w:rsid w:val="00AA2873"/>
    <w:rsid w:val="00AA28D4"/>
    <w:rsid w:val="00AC0489"/>
    <w:rsid w:val="00AC3186"/>
    <w:rsid w:val="00AC7C14"/>
    <w:rsid w:val="00AD7A64"/>
    <w:rsid w:val="00AE45BE"/>
    <w:rsid w:val="00B06F28"/>
    <w:rsid w:val="00B15A1E"/>
    <w:rsid w:val="00B44588"/>
    <w:rsid w:val="00B71460"/>
    <w:rsid w:val="00BA2323"/>
    <w:rsid w:val="00BB120A"/>
    <w:rsid w:val="00BB7B12"/>
    <w:rsid w:val="00BC0317"/>
    <w:rsid w:val="00BC0EC1"/>
    <w:rsid w:val="00BD41AA"/>
    <w:rsid w:val="00BD5325"/>
    <w:rsid w:val="00BE28BE"/>
    <w:rsid w:val="00BF04C8"/>
    <w:rsid w:val="00BF255B"/>
    <w:rsid w:val="00BF4455"/>
    <w:rsid w:val="00BF586E"/>
    <w:rsid w:val="00C57D09"/>
    <w:rsid w:val="00C57F76"/>
    <w:rsid w:val="00C831DF"/>
    <w:rsid w:val="00CA0FC3"/>
    <w:rsid w:val="00CA1208"/>
    <w:rsid w:val="00CA5334"/>
    <w:rsid w:val="00CD2FBF"/>
    <w:rsid w:val="00CE0F2D"/>
    <w:rsid w:val="00CE3A39"/>
    <w:rsid w:val="00CF2C15"/>
    <w:rsid w:val="00CF5B48"/>
    <w:rsid w:val="00D01BA4"/>
    <w:rsid w:val="00D10232"/>
    <w:rsid w:val="00D112B0"/>
    <w:rsid w:val="00D27AC9"/>
    <w:rsid w:val="00D32E8C"/>
    <w:rsid w:val="00D365B0"/>
    <w:rsid w:val="00D413F0"/>
    <w:rsid w:val="00D4203D"/>
    <w:rsid w:val="00D546A7"/>
    <w:rsid w:val="00D56A67"/>
    <w:rsid w:val="00D6709E"/>
    <w:rsid w:val="00D8771E"/>
    <w:rsid w:val="00D935E4"/>
    <w:rsid w:val="00DB6D40"/>
    <w:rsid w:val="00DC17CC"/>
    <w:rsid w:val="00DF7C2B"/>
    <w:rsid w:val="00E03627"/>
    <w:rsid w:val="00E50203"/>
    <w:rsid w:val="00E568DA"/>
    <w:rsid w:val="00E670CC"/>
    <w:rsid w:val="00E6766E"/>
    <w:rsid w:val="00E701BB"/>
    <w:rsid w:val="00E91139"/>
    <w:rsid w:val="00E9574B"/>
    <w:rsid w:val="00EC12EC"/>
    <w:rsid w:val="00ED2D09"/>
    <w:rsid w:val="00EE35A6"/>
    <w:rsid w:val="00EF08EC"/>
    <w:rsid w:val="00EF1911"/>
    <w:rsid w:val="00F01D24"/>
    <w:rsid w:val="00F156CF"/>
    <w:rsid w:val="00F70AEC"/>
    <w:rsid w:val="00F8299D"/>
    <w:rsid w:val="00F83B5A"/>
    <w:rsid w:val="00F939FE"/>
    <w:rsid w:val="00F9589E"/>
    <w:rsid w:val="00FA08DC"/>
    <w:rsid w:val="00FC206B"/>
    <w:rsid w:val="00FD0413"/>
    <w:rsid w:val="00FF29A6"/>
    <w:rsid w:val="00FF3E77"/>
    <w:rsid w:val="00FF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AE92"/>
  <w15:chartTrackingRefBased/>
  <w15:docId w15:val="{74182C03-4817-45D0-9F37-AB515707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9DE"/>
    <w:pPr>
      <w:widowControl w:val="0"/>
      <w:spacing w:after="0" w:line="240" w:lineRule="auto"/>
    </w:pPr>
    <w:rPr>
      <w:rFonts w:ascii="Arial Unicode MS" w:eastAsia="Arial Unicode MS" w:hAnsi="Arial Unicode MS" w:cs="Arial Unicode MS"/>
      <w:color w:val="000000"/>
      <w:kern w:val="0"/>
      <w:lang w:val="kk-KZ" w:eastAsia="kk-KZ" w:bidi="kk-KZ"/>
      <w14:ligatures w14:val="none"/>
    </w:rPr>
  </w:style>
  <w:style w:type="paragraph" w:styleId="1">
    <w:name w:val="heading 1"/>
    <w:basedOn w:val="a"/>
    <w:next w:val="a"/>
    <w:link w:val="10"/>
    <w:uiPriority w:val="9"/>
    <w:qFormat/>
    <w:rsid w:val="003A6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6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6E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6E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6E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6E3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6E3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6E3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6E3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E3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A6E3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6E3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6E3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6E3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6E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6E31"/>
    <w:rPr>
      <w:rFonts w:eastAsiaTheme="majorEastAsia" w:cstheme="majorBidi"/>
      <w:color w:val="595959" w:themeColor="text1" w:themeTint="A6"/>
    </w:rPr>
  </w:style>
  <w:style w:type="character" w:customStyle="1" w:styleId="80">
    <w:name w:val="Заголовок 8 Знак"/>
    <w:basedOn w:val="a0"/>
    <w:link w:val="8"/>
    <w:uiPriority w:val="9"/>
    <w:semiHidden/>
    <w:rsid w:val="003A6E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6E31"/>
    <w:rPr>
      <w:rFonts w:eastAsiaTheme="majorEastAsia" w:cstheme="majorBidi"/>
      <w:color w:val="272727" w:themeColor="text1" w:themeTint="D8"/>
    </w:rPr>
  </w:style>
  <w:style w:type="paragraph" w:styleId="a3">
    <w:name w:val="Title"/>
    <w:basedOn w:val="a"/>
    <w:next w:val="a"/>
    <w:link w:val="a4"/>
    <w:uiPriority w:val="10"/>
    <w:qFormat/>
    <w:rsid w:val="003A6E3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6E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E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6E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6E31"/>
    <w:pPr>
      <w:spacing w:before="160"/>
      <w:jc w:val="center"/>
    </w:pPr>
    <w:rPr>
      <w:i/>
      <w:iCs/>
      <w:color w:val="404040" w:themeColor="text1" w:themeTint="BF"/>
    </w:rPr>
  </w:style>
  <w:style w:type="character" w:customStyle="1" w:styleId="22">
    <w:name w:val="Цитата 2 Знак"/>
    <w:basedOn w:val="a0"/>
    <w:link w:val="21"/>
    <w:uiPriority w:val="29"/>
    <w:rsid w:val="003A6E31"/>
    <w:rPr>
      <w:i/>
      <w:iCs/>
      <w:color w:val="404040" w:themeColor="text1" w:themeTint="BF"/>
    </w:rPr>
  </w:style>
  <w:style w:type="paragraph" w:styleId="a7">
    <w:name w:val="List Paragraph"/>
    <w:basedOn w:val="a"/>
    <w:uiPriority w:val="34"/>
    <w:qFormat/>
    <w:rsid w:val="003A6E31"/>
    <w:pPr>
      <w:ind w:left="720"/>
      <w:contextualSpacing/>
    </w:pPr>
  </w:style>
  <w:style w:type="character" w:styleId="a8">
    <w:name w:val="Intense Emphasis"/>
    <w:basedOn w:val="a0"/>
    <w:uiPriority w:val="21"/>
    <w:qFormat/>
    <w:rsid w:val="003A6E31"/>
    <w:rPr>
      <w:i/>
      <w:iCs/>
      <w:color w:val="0F4761" w:themeColor="accent1" w:themeShade="BF"/>
    </w:rPr>
  </w:style>
  <w:style w:type="paragraph" w:styleId="a9">
    <w:name w:val="Intense Quote"/>
    <w:basedOn w:val="a"/>
    <w:next w:val="a"/>
    <w:link w:val="aa"/>
    <w:uiPriority w:val="30"/>
    <w:qFormat/>
    <w:rsid w:val="003A6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6E31"/>
    <w:rPr>
      <w:i/>
      <w:iCs/>
      <w:color w:val="0F4761" w:themeColor="accent1" w:themeShade="BF"/>
    </w:rPr>
  </w:style>
  <w:style w:type="character" w:styleId="ab">
    <w:name w:val="Intense Reference"/>
    <w:basedOn w:val="a0"/>
    <w:uiPriority w:val="32"/>
    <w:qFormat/>
    <w:rsid w:val="003A6E31"/>
    <w:rPr>
      <w:b/>
      <w:bCs/>
      <w:smallCaps/>
      <w:color w:val="0F4761" w:themeColor="accent1" w:themeShade="BF"/>
      <w:spacing w:val="5"/>
    </w:rPr>
  </w:style>
  <w:style w:type="character" w:customStyle="1" w:styleId="23">
    <w:name w:val="Колонтитул (2)_"/>
    <w:basedOn w:val="a0"/>
    <w:link w:val="24"/>
    <w:rsid w:val="007309DE"/>
    <w:rPr>
      <w:rFonts w:ascii="Times New Roman" w:eastAsia="Times New Roman" w:hAnsi="Times New Roman" w:cs="Times New Roman"/>
      <w:sz w:val="20"/>
      <w:szCs w:val="20"/>
    </w:rPr>
  </w:style>
  <w:style w:type="character" w:customStyle="1" w:styleId="ac">
    <w:name w:val="Другое_"/>
    <w:basedOn w:val="a0"/>
    <w:link w:val="ad"/>
    <w:rsid w:val="007309DE"/>
    <w:rPr>
      <w:rFonts w:ascii="Times New Roman" w:eastAsia="Times New Roman" w:hAnsi="Times New Roman" w:cs="Times New Roman"/>
      <w:sz w:val="18"/>
      <w:szCs w:val="18"/>
      <w:lang w:val="ru-RU" w:eastAsia="ru-RU" w:bidi="ru-RU"/>
    </w:rPr>
  </w:style>
  <w:style w:type="character" w:customStyle="1" w:styleId="31">
    <w:name w:val="Заголовок №3_"/>
    <w:basedOn w:val="a0"/>
    <w:link w:val="32"/>
    <w:rsid w:val="007309DE"/>
    <w:rPr>
      <w:rFonts w:ascii="Times New Roman" w:eastAsia="Times New Roman" w:hAnsi="Times New Roman" w:cs="Times New Roman"/>
      <w:b/>
      <w:bCs/>
    </w:rPr>
  </w:style>
  <w:style w:type="character" w:customStyle="1" w:styleId="25">
    <w:name w:val="Основной текст (2)_"/>
    <w:basedOn w:val="a0"/>
    <w:link w:val="26"/>
    <w:rsid w:val="007309DE"/>
    <w:rPr>
      <w:rFonts w:ascii="Times New Roman" w:eastAsia="Times New Roman" w:hAnsi="Times New Roman" w:cs="Times New Roman"/>
    </w:rPr>
  </w:style>
  <w:style w:type="character" w:customStyle="1" w:styleId="ae">
    <w:name w:val="Колонтитул_"/>
    <w:basedOn w:val="a0"/>
    <w:link w:val="af"/>
    <w:rsid w:val="007309DE"/>
    <w:rPr>
      <w:rFonts w:ascii="Times New Roman" w:eastAsia="Times New Roman" w:hAnsi="Times New Roman" w:cs="Times New Roman"/>
      <w:sz w:val="15"/>
      <w:szCs w:val="15"/>
    </w:rPr>
  </w:style>
  <w:style w:type="paragraph" w:customStyle="1" w:styleId="24">
    <w:name w:val="Колонтитул (2)"/>
    <w:basedOn w:val="a"/>
    <w:link w:val="23"/>
    <w:rsid w:val="007309DE"/>
    <w:rPr>
      <w:rFonts w:ascii="Times New Roman" w:eastAsia="Times New Roman" w:hAnsi="Times New Roman" w:cs="Times New Roman"/>
      <w:color w:val="auto"/>
      <w:kern w:val="2"/>
      <w:sz w:val="20"/>
      <w:szCs w:val="20"/>
      <w:lang w:val="en-US" w:eastAsia="en-US" w:bidi="ar-SA"/>
      <w14:ligatures w14:val="standardContextual"/>
    </w:rPr>
  </w:style>
  <w:style w:type="paragraph" w:customStyle="1" w:styleId="ad">
    <w:name w:val="Другое"/>
    <w:basedOn w:val="a"/>
    <w:link w:val="ac"/>
    <w:rsid w:val="007309DE"/>
    <w:pPr>
      <w:spacing w:line="312" w:lineRule="auto"/>
    </w:pPr>
    <w:rPr>
      <w:rFonts w:ascii="Times New Roman" w:eastAsia="Times New Roman" w:hAnsi="Times New Roman" w:cs="Times New Roman"/>
      <w:color w:val="auto"/>
      <w:kern w:val="2"/>
      <w:sz w:val="18"/>
      <w:szCs w:val="18"/>
      <w:lang w:val="ru-RU" w:eastAsia="ru-RU" w:bidi="ru-RU"/>
      <w14:ligatures w14:val="standardContextual"/>
    </w:rPr>
  </w:style>
  <w:style w:type="paragraph" w:customStyle="1" w:styleId="32">
    <w:name w:val="Заголовок №3"/>
    <w:basedOn w:val="a"/>
    <w:link w:val="31"/>
    <w:rsid w:val="007309DE"/>
    <w:pPr>
      <w:spacing w:after="220" w:line="276" w:lineRule="auto"/>
      <w:ind w:firstLine="460"/>
      <w:outlineLvl w:val="2"/>
    </w:pPr>
    <w:rPr>
      <w:rFonts w:ascii="Times New Roman" w:eastAsia="Times New Roman" w:hAnsi="Times New Roman" w:cs="Times New Roman"/>
      <w:b/>
      <w:bCs/>
      <w:color w:val="auto"/>
      <w:kern w:val="2"/>
      <w:lang w:val="en-US" w:eastAsia="en-US" w:bidi="ar-SA"/>
      <w14:ligatures w14:val="standardContextual"/>
    </w:rPr>
  </w:style>
  <w:style w:type="paragraph" w:customStyle="1" w:styleId="26">
    <w:name w:val="Основной текст (2)"/>
    <w:basedOn w:val="a"/>
    <w:link w:val="25"/>
    <w:rsid w:val="007309DE"/>
    <w:pPr>
      <w:spacing w:after="220" w:line="276" w:lineRule="auto"/>
      <w:ind w:left="680"/>
    </w:pPr>
    <w:rPr>
      <w:rFonts w:ascii="Times New Roman" w:eastAsia="Times New Roman" w:hAnsi="Times New Roman" w:cs="Times New Roman"/>
      <w:color w:val="auto"/>
      <w:kern w:val="2"/>
      <w:lang w:val="en-US" w:eastAsia="en-US" w:bidi="ar-SA"/>
      <w14:ligatures w14:val="standardContextual"/>
    </w:rPr>
  </w:style>
  <w:style w:type="paragraph" w:customStyle="1" w:styleId="af">
    <w:name w:val="Колонтитул"/>
    <w:basedOn w:val="a"/>
    <w:link w:val="ae"/>
    <w:rsid w:val="007309DE"/>
    <w:rPr>
      <w:rFonts w:ascii="Times New Roman" w:eastAsia="Times New Roman" w:hAnsi="Times New Roman" w:cs="Times New Roman"/>
      <w:color w:val="auto"/>
      <w:kern w:val="2"/>
      <w:sz w:val="15"/>
      <w:szCs w:val="15"/>
      <w:lang w:val="en-US" w:eastAsia="en-US" w:bidi="ar-SA"/>
      <w14:ligatures w14:val="standardContextual"/>
    </w:rPr>
  </w:style>
  <w:style w:type="paragraph" w:styleId="af0">
    <w:name w:val="header"/>
    <w:basedOn w:val="a"/>
    <w:link w:val="af1"/>
    <w:uiPriority w:val="99"/>
    <w:unhideWhenUsed/>
    <w:rsid w:val="007309DE"/>
    <w:pPr>
      <w:tabs>
        <w:tab w:val="center" w:pos="4844"/>
        <w:tab w:val="right" w:pos="9689"/>
      </w:tabs>
    </w:pPr>
  </w:style>
  <w:style w:type="character" w:customStyle="1" w:styleId="af1">
    <w:name w:val="Верхний колонтитул Знак"/>
    <w:basedOn w:val="a0"/>
    <w:link w:val="af0"/>
    <w:uiPriority w:val="99"/>
    <w:rsid w:val="007309DE"/>
    <w:rPr>
      <w:rFonts w:ascii="Arial Unicode MS" w:eastAsia="Arial Unicode MS" w:hAnsi="Arial Unicode MS" w:cs="Arial Unicode MS"/>
      <w:color w:val="000000"/>
      <w:kern w:val="0"/>
      <w:lang w:val="kk-KZ" w:eastAsia="kk-KZ" w:bidi="kk-KZ"/>
      <w14:ligatures w14:val="none"/>
    </w:rPr>
  </w:style>
  <w:style w:type="paragraph" w:styleId="af2">
    <w:name w:val="footer"/>
    <w:basedOn w:val="a"/>
    <w:link w:val="af3"/>
    <w:uiPriority w:val="99"/>
    <w:unhideWhenUsed/>
    <w:rsid w:val="007309DE"/>
    <w:pPr>
      <w:tabs>
        <w:tab w:val="center" w:pos="4844"/>
        <w:tab w:val="right" w:pos="9689"/>
      </w:tabs>
    </w:pPr>
  </w:style>
  <w:style w:type="character" w:customStyle="1" w:styleId="af3">
    <w:name w:val="Нижний колонтитул Знак"/>
    <w:basedOn w:val="a0"/>
    <w:link w:val="af2"/>
    <w:uiPriority w:val="99"/>
    <w:rsid w:val="007309DE"/>
    <w:rPr>
      <w:rFonts w:ascii="Arial Unicode MS" w:eastAsia="Arial Unicode MS" w:hAnsi="Arial Unicode MS" w:cs="Arial Unicode MS"/>
      <w:color w:val="000000"/>
      <w:kern w:val="0"/>
      <w:lang w:val="kk-KZ" w:eastAsia="kk-KZ" w:bidi="kk-KZ"/>
      <w14:ligatures w14:val="none"/>
    </w:rPr>
  </w:style>
  <w:style w:type="table" w:customStyle="1" w:styleId="11">
    <w:name w:val="Сетка таблицы1"/>
    <w:basedOn w:val="a1"/>
    <w:next w:val="af4"/>
    <w:uiPriority w:val="39"/>
    <w:rsid w:val="00FA08DC"/>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FA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003863"/>
    <w:pPr>
      <w:spacing w:after="0" w:line="240" w:lineRule="auto"/>
    </w:pPr>
    <w:rPr>
      <w:rFonts w:ascii="Calibri" w:eastAsia="Times New Roman" w:hAnsi="Calibri" w:cs="Times New Roman"/>
      <w:kern w:val="0"/>
      <w:sz w:val="22"/>
      <w:szCs w:val="2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4711">
      <w:bodyDiv w:val="1"/>
      <w:marLeft w:val="0"/>
      <w:marRight w:val="0"/>
      <w:marTop w:val="0"/>
      <w:marBottom w:val="0"/>
      <w:divBdr>
        <w:top w:val="none" w:sz="0" w:space="0" w:color="auto"/>
        <w:left w:val="none" w:sz="0" w:space="0" w:color="auto"/>
        <w:bottom w:val="none" w:sz="0" w:space="0" w:color="auto"/>
        <w:right w:val="none" w:sz="0" w:space="0" w:color="auto"/>
      </w:divBdr>
    </w:div>
    <w:div w:id="1075400668">
      <w:bodyDiv w:val="1"/>
      <w:marLeft w:val="0"/>
      <w:marRight w:val="0"/>
      <w:marTop w:val="0"/>
      <w:marBottom w:val="0"/>
      <w:divBdr>
        <w:top w:val="none" w:sz="0" w:space="0" w:color="auto"/>
        <w:left w:val="none" w:sz="0" w:space="0" w:color="auto"/>
        <w:bottom w:val="none" w:sz="0" w:space="0" w:color="auto"/>
        <w:right w:val="none" w:sz="0" w:space="0" w:color="auto"/>
      </w:divBdr>
    </w:div>
    <w:div w:id="1181967397">
      <w:bodyDiv w:val="1"/>
      <w:marLeft w:val="0"/>
      <w:marRight w:val="0"/>
      <w:marTop w:val="0"/>
      <w:marBottom w:val="0"/>
      <w:divBdr>
        <w:top w:val="none" w:sz="0" w:space="0" w:color="auto"/>
        <w:left w:val="none" w:sz="0" w:space="0" w:color="auto"/>
        <w:bottom w:val="none" w:sz="0" w:space="0" w:color="auto"/>
        <w:right w:val="none" w:sz="0" w:space="0" w:color="auto"/>
      </w:divBdr>
    </w:div>
    <w:div w:id="20055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E480-90C5-453F-9FCD-4CFE0197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3345</TotalTime>
  <Pages>4</Pages>
  <Words>937</Words>
  <Characters>7345</Characters>
  <Application>Microsoft Office Word</Application>
  <DocSecurity>0</DocSecurity>
  <Lines>183</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Балгалиев Рамазан Дарханулы</cp:lastModifiedBy>
  <cp:revision>171</cp:revision>
  <dcterms:created xsi:type="dcterms:W3CDTF">2024-10-31T04:45:00Z</dcterms:created>
  <dcterms:modified xsi:type="dcterms:W3CDTF">2025-10-31T06:11:00Z</dcterms:modified>
</cp:coreProperties>
</file>