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968B33B"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04D01">
        <w:rPr>
          <w:b/>
          <w:bCs/>
          <w:sz w:val="22"/>
          <w:szCs w:val="22"/>
        </w:rPr>
        <w:t>309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2207"/>
        <w:gridCol w:w="1199"/>
        <w:gridCol w:w="2185"/>
        <w:gridCol w:w="2508"/>
        <w:gridCol w:w="2508"/>
        <w:gridCol w:w="1769"/>
        <w:gridCol w:w="1691"/>
        <w:gridCol w:w="1587"/>
      </w:tblGrid>
      <w:tr w:rsidR="00EA6D10" w:rsidRPr="00841B34" w14:paraId="48954C0C" w14:textId="3A9AD78E" w:rsidTr="00EA6D10">
        <w:trPr>
          <w:trHeight w:val="632"/>
        </w:trPr>
        <w:tc>
          <w:tcPr>
            <w:tcW w:w="705" w:type="pct"/>
            <w:tcBorders>
              <w:top w:val="single" w:sz="2" w:space="0" w:color="000000"/>
              <w:left w:val="nil"/>
              <w:bottom w:val="single" w:sz="5" w:space="0" w:color="000000"/>
              <w:right w:val="single" w:sz="5" w:space="0" w:color="000000"/>
            </w:tcBorders>
          </w:tcPr>
          <w:p w14:paraId="3BDFB73A" w14:textId="77777777" w:rsidR="00EA6D10" w:rsidRPr="00841B34" w:rsidRDefault="00EA6D10" w:rsidP="00594811">
            <w:pPr>
              <w:spacing w:after="0" w:line="259" w:lineRule="auto"/>
              <w:ind w:right="57" w:firstLine="0"/>
              <w:rPr>
                <w:b/>
                <w:sz w:val="22"/>
                <w:szCs w:val="22"/>
              </w:rPr>
            </w:pPr>
          </w:p>
          <w:p w14:paraId="4C0FD0A3" w14:textId="685C313D" w:rsidR="00EA6D10" w:rsidRPr="00841B34" w:rsidRDefault="00EA6D10" w:rsidP="00594811">
            <w:pPr>
              <w:spacing w:after="0"/>
              <w:ind w:right="57" w:firstLine="0"/>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EA6D10" w:rsidRPr="00841B34" w:rsidRDefault="00EA6D10" w:rsidP="00594811">
            <w:pPr>
              <w:spacing w:after="0" w:line="259" w:lineRule="auto"/>
              <w:ind w:right="57" w:firstLine="0"/>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EA6D10" w:rsidRPr="00841B34" w:rsidRDefault="00EA6D10"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3994492" w14:textId="2BCB582C" w:rsidR="00EA6D10" w:rsidRPr="00841B34" w:rsidRDefault="00EA6D10"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FA72482" w14:textId="50CFEBE3" w:rsidR="00EA6D10" w:rsidRPr="00841B34" w:rsidRDefault="00EA6D10"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EA6D10" w:rsidRPr="00841B34" w:rsidRDefault="00EA6D10"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EA6D10" w:rsidRPr="00841B34" w:rsidRDefault="00EA6D10"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07" w:type="pct"/>
            <w:tcBorders>
              <w:top w:val="single" w:sz="2" w:space="0" w:color="000000"/>
              <w:left w:val="single" w:sz="5" w:space="0" w:color="000000"/>
              <w:bottom w:val="single" w:sz="5" w:space="0" w:color="000000"/>
              <w:right w:val="single" w:sz="5" w:space="0" w:color="000000"/>
            </w:tcBorders>
          </w:tcPr>
          <w:p w14:paraId="7F42C84B" w14:textId="08A02694" w:rsidR="00EA6D10" w:rsidRPr="00841B34" w:rsidRDefault="00EA6D10" w:rsidP="00594811">
            <w:pPr>
              <w:spacing w:after="0" w:line="259" w:lineRule="auto"/>
              <w:ind w:right="57" w:firstLine="0"/>
              <w:rPr>
                <w:b/>
                <w:sz w:val="22"/>
                <w:szCs w:val="22"/>
              </w:rPr>
            </w:pPr>
            <w:r w:rsidRPr="00841B34">
              <w:rPr>
                <w:b/>
                <w:sz w:val="22"/>
                <w:szCs w:val="22"/>
              </w:rPr>
              <w:t>Обеспечение тендерной заявки</w:t>
            </w:r>
          </w:p>
        </w:tc>
      </w:tr>
      <w:tr w:rsidR="00EA6D10" w:rsidRPr="00841B34" w14:paraId="66D9C527" w14:textId="4380813D" w:rsidTr="00EA6D10">
        <w:trPr>
          <w:trHeight w:val="1715"/>
        </w:trPr>
        <w:tc>
          <w:tcPr>
            <w:tcW w:w="705" w:type="pct"/>
            <w:tcBorders>
              <w:top w:val="single" w:sz="5" w:space="0" w:color="000000"/>
              <w:left w:val="nil"/>
              <w:bottom w:val="single" w:sz="2" w:space="0" w:color="000000"/>
              <w:right w:val="single" w:sz="2" w:space="0" w:color="000000"/>
            </w:tcBorders>
            <w:vAlign w:val="center"/>
          </w:tcPr>
          <w:p w14:paraId="175A0C06" w14:textId="5567B9F4" w:rsidR="00EA6D10" w:rsidRPr="00841B34" w:rsidRDefault="00EA6D10" w:rsidP="00EA6D10">
            <w:pPr>
              <w:spacing w:after="0" w:line="259" w:lineRule="auto"/>
              <w:ind w:right="57" w:firstLine="0"/>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3BBBC1CA" w:rsidR="00EA6D10" w:rsidRPr="00841B34" w:rsidRDefault="00EA6D10" w:rsidP="00EA6D10">
            <w:pPr>
              <w:spacing w:after="0" w:line="259" w:lineRule="auto"/>
              <w:ind w:right="57" w:firstLine="0"/>
              <w:rPr>
                <w:sz w:val="22"/>
                <w:szCs w:val="22"/>
              </w:rPr>
            </w:pP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3F5BB1AB" w:rsidR="00EA6D10" w:rsidRPr="00841B34" w:rsidRDefault="00EA6D10" w:rsidP="00EA6D10">
            <w:pPr>
              <w:spacing w:after="0" w:line="259" w:lineRule="auto"/>
              <w:ind w:right="57" w:firstLine="0"/>
              <w:rPr>
                <w:sz w:val="22"/>
                <w:szCs w:val="22"/>
              </w:rPr>
            </w:pPr>
          </w:p>
        </w:tc>
        <w:tc>
          <w:tcPr>
            <w:tcW w:w="801" w:type="pct"/>
            <w:tcBorders>
              <w:top w:val="single" w:sz="5" w:space="0" w:color="000000"/>
              <w:left w:val="single" w:sz="5" w:space="0" w:color="000000"/>
              <w:bottom w:val="single" w:sz="2" w:space="0" w:color="000000"/>
              <w:right w:val="single" w:sz="5" w:space="0" w:color="000000"/>
            </w:tcBorders>
            <w:vAlign w:val="center"/>
          </w:tcPr>
          <w:p w14:paraId="27486483" w14:textId="3BA8373B" w:rsidR="00EA6D10" w:rsidRPr="00841B34" w:rsidRDefault="00EA6D10" w:rsidP="00EA6D10">
            <w:pPr>
              <w:spacing w:after="0" w:line="259" w:lineRule="auto"/>
              <w:ind w:right="57" w:firstLine="0"/>
              <w:rPr>
                <w:sz w:val="22"/>
                <w:szCs w:val="22"/>
              </w:rPr>
            </w:pPr>
          </w:p>
        </w:tc>
        <w:tc>
          <w:tcPr>
            <w:tcW w:w="801" w:type="pct"/>
            <w:tcBorders>
              <w:top w:val="single" w:sz="5" w:space="0" w:color="000000"/>
              <w:left w:val="single" w:sz="5" w:space="0" w:color="000000"/>
              <w:bottom w:val="single" w:sz="2" w:space="0" w:color="000000"/>
              <w:right w:val="single" w:sz="5" w:space="0" w:color="000000"/>
            </w:tcBorders>
            <w:vAlign w:val="center"/>
          </w:tcPr>
          <w:p w14:paraId="6BB39BC5" w14:textId="77777777" w:rsidR="00404D01" w:rsidRPr="00404D01" w:rsidRDefault="00404D01" w:rsidP="00404D01">
            <w:pPr>
              <w:jc w:val="center"/>
              <w:rPr>
                <w:sz w:val="24"/>
              </w:rPr>
            </w:pPr>
            <w:r w:rsidRPr="00404D01">
              <w:rPr>
                <w:sz w:val="24"/>
              </w:rPr>
              <w:t>Блок фильтров для очистки сырого газа</w:t>
            </w:r>
          </w:p>
          <w:p w14:paraId="722594EB" w14:textId="3B2092FC" w:rsidR="00EA6D10" w:rsidRPr="00841B34" w:rsidRDefault="00EA6D10" w:rsidP="00EA6D10">
            <w:pPr>
              <w:spacing w:after="0" w:line="259" w:lineRule="auto"/>
              <w:ind w:right="57" w:firstLine="0"/>
              <w:rPr>
                <w:sz w:val="22"/>
                <w:szCs w:val="22"/>
              </w:rPr>
            </w:pPr>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32F68A2F" w:rsidR="00EA6D10" w:rsidRPr="00841B34" w:rsidRDefault="00404D01" w:rsidP="00EA6D10">
            <w:pPr>
              <w:spacing w:after="0" w:line="259" w:lineRule="auto"/>
              <w:ind w:right="57" w:firstLine="0"/>
              <w:rPr>
                <w:sz w:val="22"/>
                <w:szCs w:val="22"/>
              </w:rPr>
            </w:pPr>
            <w:r>
              <w:rPr>
                <w:sz w:val="22"/>
                <w:szCs w:val="22"/>
              </w:rPr>
              <w:t>1 комплект</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7006EA67" w:rsidR="00EA6D10" w:rsidRPr="00872921" w:rsidRDefault="00872921" w:rsidP="00EA6D10">
            <w:pPr>
              <w:spacing w:after="0" w:line="259" w:lineRule="auto"/>
              <w:ind w:right="57" w:firstLine="0"/>
              <w:rPr>
                <w:sz w:val="22"/>
                <w:szCs w:val="22"/>
                <w:lang w:val="en-US"/>
              </w:rPr>
            </w:pPr>
            <w:r>
              <w:rPr>
                <w:sz w:val="22"/>
                <w:szCs w:val="22"/>
                <w:lang w:val="en-US"/>
              </w:rPr>
              <w:t>67 552 000.0</w:t>
            </w:r>
          </w:p>
        </w:tc>
        <w:tc>
          <w:tcPr>
            <w:tcW w:w="507" w:type="pct"/>
            <w:tcBorders>
              <w:top w:val="single" w:sz="5" w:space="0" w:color="000000"/>
              <w:left w:val="single" w:sz="5" w:space="0" w:color="000000"/>
              <w:bottom w:val="single" w:sz="2" w:space="0" w:color="000000"/>
              <w:right w:val="single" w:sz="5" w:space="0" w:color="000000"/>
            </w:tcBorders>
          </w:tcPr>
          <w:p w14:paraId="7AEF1718" w14:textId="3C63C469" w:rsidR="00EA6D10" w:rsidRPr="00841B34" w:rsidRDefault="00EA6D10" w:rsidP="00EA6D10">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31A0757" w14:textId="4DBB9CD4" w:rsidR="00E03BAA" w:rsidRPr="00841B34" w:rsidRDefault="00E03BAA" w:rsidP="00594811">
      <w:pPr>
        <w:spacing w:after="0" w:line="259" w:lineRule="auto"/>
        <w:ind w:right="57" w:firstLine="0"/>
        <w:jc w:val="center"/>
        <w:rPr>
          <w:b/>
          <w:sz w:val="22"/>
          <w:szCs w:val="22"/>
        </w:rPr>
      </w:pPr>
      <w:r w:rsidRPr="00841B34">
        <w:rPr>
          <w:b/>
          <w:sz w:val="22"/>
          <w:szCs w:val="22"/>
        </w:rPr>
        <w:t>3.</w:t>
      </w:r>
      <w:r w:rsidR="00EA6D10">
        <w:rPr>
          <w:b/>
          <w:sz w:val="22"/>
          <w:szCs w:val="22"/>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6F794C1" w:rsidR="00841B34" w:rsidRDefault="00E03BAA" w:rsidP="00594811">
      <w:pPr>
        <w:spacing w:after="0" w:line="259" w:lineRule="auto"/>
        <w:ind w:right="57" w:firstLine="0"/>
        <w:rPr>
          <w:bCs/>
          <w:sz w:val="22"/>
          <w:szCs w:val="22"/>
        </w:rPr>
      </w:pPr>
      <w:r w:rsidRPr="00841B34">
        <w:rPr>
          <w:bCs/>
          <w:sz w:val="22"/>
          <w:szCs w:val="22"/>
        </w:rPr>
        <w:t>3.</w:t>
      </w:r>
      <w:r w:rsidR="00EA6D10">
        <w:rPr>
          <w:bCs/>
          <w:sz w:val="22"/>
          <w:szCs w:val="22"/>
        </w:rPr>
        <w:t>1</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1F82" w14:textId="77777777" w:rsidR="00FC15FC" w:rsidRDefault="00FC15FC">
      <w:pPr>
        <w:spacing w:after="0" w:line="240" w:lineRule="auto"/>
      </w:pPr>
      <w:r>
        <w:separator/>
      </w:r>
    </w:p>
  </w:endnote>
  <w:endnote w:type="continuationSeparator" w:id="0">
    <w:p w14:paraId="2B47E592" w14:textId="77777777" w:rsidR="00FC15FC" w:rsidRDefault="00FC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4572" w14:textId="77777777" w:rsidR="00FC15FC" w:rsidRDefault="00FC15FC">
      <w:pPr>
        <w:spacing w:after="0" w:line="240" w:lineRule="auto"/>
      </w:pPr>
      <w:r>
        <w:separator/>
      </w:r>
    </w:p>
  </w:footnote>
  <w:footnote w:type="continuationSeparator" w:id="0">
    <w:p w14:paraId="43F665BB" w14:textId="77777777" w:rsidR="00FC15FC" w:rsidRDefault="00FC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5724"/>
    <w:rsid w:val="0013542A"/>
    <w:rsid w:val="00193A4F"/>
    <w:rsid w:val="001A0505"/>
    <w:rsid w:val="001F753B"/>
    <w:rsid w:val="002252AE"/>
    <w:rsid w:val="002372AE"/>
    <w:rsid w:val="002F43CC"/>
    <w:rsid w:val="00312853"/>
    <w:rsid w:val="00330446"/>
    <w:rsid w:val="00347A68"/>
    <w:rsid w:val="003C7257"/>
    <w:rsid w:val="00404D01"/>
    <w:rsid w:val="00423A30"/>
    <w:rsid w:val="00437A92"/>
    <w:rsid w:val="00492765"/>
    <w:rsid w:val="004C400F"/>
    <w:rsid w:val="004C5585"/>
    <w:rsid w:val="004C590F"/>
    <w:rsid w:val="004F69FE"/>
    <w:rsid w:val="00510C37"/>
    <w:rsid w:val="005152EF"/>
    <w:rsid w:val="00594811"/>
    <w:rsid w:val="005B2FF9"/>
    <w:rsid w:val="006169EC"/>
    <w:rsid w:val="006517FE"/>
    <w:rsid w:val="00666443"/>
    <w:rsid w:val="006B2071"/>
    <w:rsid w:val="0076523D"/>
    <w:rsid w:val="00791DA6"/>
    <w:rsid w:val="007B64ED"/>
    <w:rsid w:val="00802661"/>
    <w:rsid w:val="00803A8B"/>
    <w:rsid w:val="00835FD8"/>
    <w:rsid w:val="00841B34"/>
    <w:rsid w:val="00872921"/>
    <w:rsid w:val="00882322"/>
    <w:rsid w:val="008B616A"/>
    <w:rsid w:val="009916D5"/>
    <w:rsid w:val="009B536E"/>
    <w:rsid w:val="009D2F7A"/>
    <w:rsid w:val="009D43F6"/>
    <w:rsid w:val="009F69A4"/>
    <w:rsid w:val="00A43B9B"/>
    <w:rsid w:val="00A44CE7"/>
    <w:rsid w:val="00A64DDA"/>
    <w:rsid w:val="00A81BF7"/>
    <w:rsid w:val="00AF0EFC"/>
    <w:rsid w:val="00B134D9"/>
    <w:rsid w:val="00B54AED"/>
    <w:rsid w:val="00B76626"/>
    <w:rsid w:val="00BD6D75"/>
    <w:rsid w:val="00BF033A"/>
    <w:rsid w:val="00C10173"/>
    <w:rsid w:val="00C82FDB"/>
    <w:rsid w:val="00CC57FD"/>
    <w:rsid w:val="00D12743"/>
    <w:rsid w:val="00D441C4"/>
    <w:rsid w:val="00D8707C"/>
    <w:rsid w:val="00E03BAA"/>
    <w:rsid w:val="00E20420"/>
    <w:rsid w:val="00E65FC4"/>
    <w:rsid w:val="00E9053C"/>
    <w:rsid w:val="00EA6D10"/>
    <w:rsid w:val="00EC7EEC"/>
    <w:rsid w:val="00F31F8C"/>
    <w:rsid w:val="00F474CE"/>
    <w:rsid w:val="00F7012E"/>
    <w:rsid w:val="00F83819"/>
    <w:rsid w:val="00FC15FC"/>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8</Pages>
  <Words>2971</Words>
  <Characters>21394</Characters>
  <Application>Microsoft Office Word</Application>
  <DocSecurity>0</DocSecurity>
  <Lines>764</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27</cp:revision>
  <dcterms:created xsi:type="dcterms:W3CDTF">2024-10-07T05:29:00Z</dcterms:created>
  <dcterms:modified xsi:type="dcterms:W3CDTF">2025-11-26T09:55:00Z</dcterms:modified>
</cp:coreProperties>
</file>