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5191D024"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0E0D34">
        <w:rPr>
          <w:b/>
          <w:bCs/>
          <w:sz w:val="22"/>
          <w:szCs w:val="22"/>
        </w:rPr>
        <w:t>28</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BB00A3"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181D5356" w:rsidR="00841B34" w:rsidRPr="00BB00A3" w:rsidRDefault="00000000" w:rsidP="00594811">
      <w:pPr>
        <w:spacing w:after="0" w:line="259" w:lineRule="auto"/>
        <w:ind w:right="57" w:firstLine="0"/>
        <w:rPr>
          <w:b/>
          <w:sz w:val="22"/>
          <w:szCs w:val="22"/>
        </w:rPr>
      </w:pPr>
      <w:r w:rsidRPr="00841B34">
        <w:rPr>
          <w:sz w:val="22"/>
          <w:szCs w:val="22"/>
        </w:rPr>
        <w:t>Телефон</w:t>
      </w:r>
      <w:r w:rsidR="00FD0FF2">
        <w:rPr>
          <w:b/>
          <w:sz w:val="22"/>
          <w:szCs w:val="22"/>
        </w:rPr>
        <w:t xml:space="preserve"> </w:t>
      </w:r>
      <w:r w:rsidR="00FD0FF2" w:rsidRPr="00841B34">
        <w:rPr>
          <w:b/>
          <w:sz w:val="22"/>
          <w:szCs w:val="22"/>
        </w:rPr>
        <w:t>+7 (7132) 744</w:t>
      </w:r>
      <w:r w:rsidR="00FD0FF2" w:rsidRPr="00FD0FF2">
        <w:rPr>
          <w:b/>
          <w:sz w:val="22"/>
          <w:szCs w:val="22"/>
        </w:rPr>
        <w:t>-</w:t>
      </w:r>
      <w:r w:rsidR="00FD0FF2">
        <w:rPr>
          <w:b/>
          <w:sz w:val="22"/>
          <w:szCs w:val="22"/>
        </w:rPr>
        <w:t>181</w:t>
      </w:r>
    </w:p>
    <w:p w14:paraId="2B0596CB" w14:textId="187DED09" w:rsidR="00841B34" w:rsidRPr="00494231"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8"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9"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1593A304" w14:textId="77777777" w:rsidR="00022659"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435"/>
        <w:gridCol w:w="783"/>
        <w:gridCol w:w="1556"/>
        <w:gridCol w:w="1750"/>
        <w:gridCol w:w="1559"/>
        <w:gridCol w:w="1133"/>
        <w:gridCol w:w="1418"/>
        <w:gridCol w:w="1418"/>
        <w:gridCol w:w="1421"/>
        <w:gridCol w:w="1562"/>
        <w:gridCol w:w="1615"/>
      </w:tblGrid>
      <w:tr w:rsidR="00022659" w:rsidRPr="00841B34" w14:paraId="385DAEAC" w14:textId="77777777" w:rsidTr="00022659">
        <w:trPr>
          <w:trHeight w:val="1554"/>
        </w:trPr>
        <w:tc>
          <w:tcPr>
            <w:tcW w:w="458" w:type="pct"/>
            <w:vMerge w:val="restart"/>
          </w:tcPr>
          <w:p w14:paraId="5BE18786" w14:textId="77777777" w:rsidR="00022659" w:rsidRPr="00841B34" w:rsidRDefault="00022659" w:rsidP="00CD52E8">
            <w:pPr>
              <w:spacing w:after="0" w:line="259" w:lineRule="auto"/>
              <w:ind w:right="57" w:firstLine="0"/>
              <w:jc w:val="center"/>
              <w:rPr>
                <w:b/>
                <w:sz w:val="22"/>
                <w:szCs w:val="22"/>
              </w:rPr>
            </w:pPr>
          </w:p>
          <w:p w14:paraId="76190CEC" w14:textId="77777777" w:rsidR="00022659" w:rsidRPr="00841B34" w:rsidRDefault="00022659" w:rsidP="00CD52E8">
            <w:pPr>
              <w:spacing w:after="0"/>
              <w:ind w:right="57" w:firstLine="0"/>
              <w:jc w:val="center"/>
              <w:rPr>
                <w:b/>
                <w:bCs/>
                <w:sz w:val="22"/>
                <w:szCs w:val="22"/>
              </w:rPr>
            </w:pPr>
            <w:r w:rsidRPr="00841B34">
              <w:rPr>
                <w:b/>
                <w:bCs/>
                <w:sz w:val="22"/>
                <w:szCs w:val="22"/>
              </w:rPr>
              <w:t>Номер контракта на недропользование</w:t>
            </w:r>
          </w:p>
        </w:tc>
        <w:tc>
          <w:tcPr>
            <w:tcW w:w="250" w:type="pct"/>
            <w:vMerge w:val="restart"/>
            <w:vAlign w:val="center"/>
          </w:tcPr>
          <w:p w14:paraId="3A11B37E" w14:textId="77777777" w:rsidR="00022659" w:rsidRPr="00841B34" w:rsidRDefault="00022659" w:rsidP="00CD52E8">
            <w:pPr>
              <w:spacing w:after="0" w:line="259" w:lineRule="auto"/>
              <w:ind w:right="57" w:firstLine="0"/>
              <w:jc w:val="center"/>
              <w:rPr>
                <w:b/>
                <w:bCs/>
                <w:sz w:val="22"/>
                <w:szCs w:val="22"/>
              </w:rPr>
            </w:pPr>
            <w:r w:rsidRPr="00841B34">
              <w:rPr>
                <w:b/>
                <w:bCs/>
                <w:sz w:val="22"/>
                <w:szCs w:val="22"/>
              </w:rPr>
              <w:t>Код предмета закупки</w:t>
            </w:r>
          </w:p>
        </w:tc>
        <w:tc>
          <w:tcPr>
            <w:tcW w:w="497" w:type="pct"/>
            <w:vMerge w:val="restart"/>
            <w:vAlign w:val="center"/>
          </w:tcPr>
          <w:p w14:paraId="541FC90E" w14:textId="77777777" w:rsidR="00022659" w:rsidRPr="00841B34" w:rsidRDefault="00022659" w:rsidP="00CD52E8">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559" w:type="pct"/>
            <w:vMerge w:val="restart"/>
          </w:tcPr>
          <w:p w14:paraId="62710795" w14:textId="77777777" w:rsidR="00022659" w:rsidRPr="00841B34" w:rsidRDefault="00022659" w:rsidP="00CD52E8">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498" w:type="pct"/>
            <w:vMerge w:val="restart"/>
          </w:tcPr>
          <w:p w14:paraId="253CD5BE" w14:textId="77777777" w:rsidR="00022659" w:rsidRPr="00841B34" w:rsidRDefault="00022659" w:rsidP="00CD52E8">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62" w:type="pct"/>
            <w:vMerge w:val="restart"/>
          </w:tcPr>
          <w:p w14:paraId="29E0A21B" w14:textId="77777777" w:rsidR="00022659" w:rsidRPr="00841B34" w:rsidRDefault="00022659" w:rsidP="00CD52E8">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1360" w:type="pct"/>
            <w:gridSpan w:val="3"/>
          </w:tcPr>
          <w:p w14:paraId="07F1F61C" w14:textId="1D862A71" w:rsidR="00022659" w:rsidRPr="00841B34" w:rsidRDefault="00022659" w:rsidP="00CD52E8">
            <w:pPr>
              <w:spacing w:after="0" w:line="259" w:lineRule="auto"/>
              <w:ind w:right="57" w:firstLine="0"/>
              <w:jc w:val="center"/>
              <w:rPr>
                <w:b/>
                <w:sz w:val="22"/>
                <w:szCs w:val="22"/>
              </w:rPr>
            </w:pPr>
            <w:r w:rsidRPr="00841B34">
              <w:rPr>
                <w:b/>
                <w:sz w:val="22"/>
                <w:szCs w:val="22"/>
              </w:rPr>
              <w:t>Планируемая сумма закупа без учета налога на добавленную стоимость, тенге</w:t>
            </w:r>
          </w:p>
        </w:tc>
        <w:tc>
          <w:tcPr>
            <w:tcW w:w="499" w:type="pct"/>
            <w:vMerge w:val="restart"/>
          </w:tcPr>
          <w:p w14:paraId="07BEE64F" w14:textId="77777777" w:rsidR="00022659" w:rsidRPr="00841B34" w:rsidRDefault="00022659" w:rsidP="00CD52E8">
            <w:pPr>
              <w:spacing w:after="0" w:line="259" w:lineRule="auto"/>
              <w:ind w:right="57" w:firstLine="0"/>
              <w:jc w:val="center"/>
              <w:rPr>
                <w:b/>
                <w:sz w:val="22"/>
                <w:szCs w:val="22"/>
              </w:rPr>
            </w:pPr>
            <w:r w:rsidRPr="00841B34">
              <w:rPr>
                <w:b/>
                <w:sz w:val="22"/>
                <w:szCs w:val="22"/>
              </w:rPr>
              <w:t>Обеспечение тендерной заявки</w:t>
            </w:r>
          </w:p>
        </w:tc>
        <w:tc>
          <w:tcPr>
            <w:tcW w:w="516" w:type="pct"/>
            <w:vMerge w:val="restart"/>
          </w:tcPr>
          <w:p w14:paraId="419626DC" w14:textId="77777777" w:rsidR="00022659" w:rsidRPr="00841B34" w:rsidRDefault="00022659" w:rsidP="00CD52E8">
            <w:pPr>
              <w:spacing w:after="0" w:line="259" w:lineRule="auto"/>
              <w:ind w:right="57" w:firstLine="0"/>
              <w:jc w:val="center"/>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022659" w:rsidRPr="00841B34" w14:paraId="1B4502C3" w14:textId="77777777" w:rsidTr="00022659">
        <w:trPr>
          <w:trHeight w:val="847"/>
        </w:trPr>
        <w:tc>
          <w:tcPr>
            <w:tcW w:w="458" w:type="pct"/>
            <w:vMerge/>
          </w:tcPr>
          <w:p w14:paraId="7D02D3C6" w14:textId="77777777" w:rsidR="00022659" w:rsidRPr="00841B34" w:rsidRDefault="00022659" w:rsidP="00CD52E8">
            <w:pPr>
              <w:spacing w:after="0" w:line="259" w:lineRule="auto"/>
              <w:ind w:right="57" w:firstLine="0"/>
              <w:jc w:val="center"/>
              <w:rPr>
                <w:b/>
                <w:sz w:val="22"/>
                <w:szCs w:val="22"/>
              </w:rPr>
            </w:pPr>
          </w:p>
        </w:tc>
        <w:tc>
          <w:tcPr>
            <w:tcW w:w="250" w:type="pct"/>
            <w:vMerge/>
            <w:vAlign w:val="center"/>
          </w:tcPr>
          <w:p w14:paraId="70834438" w14:textId="77777777" w:rsidR="00022659" w:rsidRPr="00841B34" w:rsidRDefault="00022659" w:rsidP="00CD52E8">
            <w:pPr>
              <w:spacing w:after="0" w:line="259" w:lineRule="auto"/>
              <w:ind w:right="57" w:firstLine="0"/>
              <w:jc w:val="center"/>
              <w:rPr>
                <w:b/>
                <w:bCs/>
                <w:sz w:val="22"/>
                <w:szCs w:val="22"/>
              </w:rPr>
            </w:pPr>
          </w:p>
        </w:tc>
        <w:tc>
          <w:tcPr>
            <w:tcW w:w="497" w:type="pct"/>
            <w:vMerge/>
            <w:vAlign w:val="center"/>
          </w:tcPr>
          <w:p w14:paraId="76DD0AC2" w14:textId="77777777" w:rsidR="00022659" w:rsidRPr="00841B34" w:rsidRDefault="00022659" w:rsidP="00CD52E8">
            <w:pPr>
              <w:spacing w:after="0" w:line="259" w:lineRule="auto"/>
              <w:ind w:right="57" w:firstLine="0"/>
              <w:jc w:val="center"/>
              <w:rPr>
                <w:b/>
                <w:sz w:val="22"/>
                <w:szCs w:val="22"/>
              </w:rPr>
            </w:pPr>
          </w:p>
        </w:tc>
        <w:tc>
          <w:tcPr>
            <w:tcW w:w="559" w:type="pct"/>
            <w:vMerge/>
          </w:tcPr>
          <w:p w14:paraId="18F29C68" w14:textId="77777777" w:rsidR="00022659" w:rsidRPr="00841B34" w:rsidRDefault="00022659" w:rsidP="00CD52E8">
            <w:pPr>
              <w:spacing w:after="0" w:line="259" w:lineRule="auto"/>
              <w:ind w:right="57" w:firstLine="0"/>
              <w:jc w:val="center"/>
              <w:rPr>
                <w:b/>
                <w:sz w:val="22"/>
                <w:szCs w:val="22"/>
              </w:rPr>
            </w:pPr>
          </w:p>
        </w:tc>
        <w:tc>
          <w:tcPr>
            <w:tcW w:w="498" w:type="pct"/>
            <w:vMerge/>
          </w:tcPr>
          <w:p w14:paraId="2E66F2DC" w14:textId="77777777" w:rsidR="00022659" w:rsidRPr="00841B34" w:rsidRDefault="00022659" w:rsidP="00CD52E8">
            <w:pPr>
              <w:spacing w:after="0" w:line="259" w:lineRule="auto"/>
              <w:ind w:right="57" w:firstLine="0"/>
              <w:jc w:val="center"/>
              <w:rPr>
                <w:b/>
                <w:sz w:val="22"/>
                <w:szCs w:val="22"/>
              </w:rPr>
            </w:pPr>
          </w:p>
        </w:tc>
        <w:tc>
          <w:tcPr>
            <w:tcW w:w="362" w:type="pct"/>
            <w:vMerge/>
          </w:tcPr>
          <w:p w14:paraId="3E7FBACA" w14:textId="77777777" w:rsidR="00022659" w:rsidRPr="00841B34" w:rsidRDefault="00022659" w:rsidP="00CD52E8">
            <w:pPr>
              <w:spacing w:after="0" w:line="259" w:lineRule="auto"/>
              <w:ind w:right="57" w:firstLine="0"/>
              <w:jc w:val="center"/>
              <w:rPr>
                <w:b/>
                <w:sz w:val="22"/>
                <w:szCs w:val="22"/>
              </w:rPr>
            </w:pPr>
          </w:p>
        </w:tc>
        <w:tc>
          <w:tcPr>
            <w:tcW w:w="453" w:type="pct"/>
          </w:tcPr>
          <w:p w14:paraId="77AB730D" w14:textId="77777777" w:rsidR="00022659" w:rsidRDefault="00022659" w:rsidP="00CD52E8">
            <w:pPr>
              <w:spacing w:after="0" w:line="259" w:lineRule="auto"/>
              <w:ind w:right="57" w:firstLine="0"/>
              <w:jc w:val="center"/>
              <w:rPr>
                <w:b/>
                <w:sz w:val="22"/>
                <w:szCs w:val="22"/>
              </w:rPr>
            </w:pPr>
          </w:p>
          <w:p w14:paraId="7F4D9C90" w14:textId="77777777" w:rsidR="00022659" w:rsidRDefault="00022659" w:rsidP="00CD52E8">
            <w:pPr>
              <w:spacing w:after="0" w:line="259" w:lineRule="auto"/>
              <w:ind w:right="57" w:firstLine="0"/>
              <w:jc w:val="center"/>
              <w:rPr>
                <w:b/>
                <w:sz w:val="22"/>
                <w:szCs w:val="22"/>
              </w:rPr>
            </w:pPr>
          </w:p>
          <w:p w14:paraId="39799FAB" w14:textId="77777777" w:rsidR="00022659" w:rsidRDefault="00022659" w:rsidP="00CD52E8">
            <w:pPr>
              <w:spacing w:after="0" w:line="259" w:lineRule="auto"/>
              <w:ind w:right="57" w:firstLine="0"/>
              <w:jc w:val="center"/>
              <w:rPr>
                <w:b/>
                <w:sz w:val="22"/>
                <w:szCs w:val="22"/>
              </w:rPr>
            </w:pPr>
          </w:p>
          <w:p w14:paraId="452D9B31" w14:textId="5F7C2A8F" w:rsidR="00022659" w:rsidRPr="00841B34" w:rsidRDefault="00022659" w:rsidP="00CD52E8">
            <w:pPr>
              <w:spacing w:after="0" w:line="259" w:lineRule="auto"/>
              <w:ind w:right="57" w:firstLine="0"/>
              <w:jc w:val="center"/>
              <w:rPr>
                <w:b/>
                <w:sz w:val="22"/>
                <w:szCs w:val="22"/>
              </w:rPr>
            </w:pPr>
            <w:r>
              <w:rPr>
                <w:b/>
                <w:sz w:val="22"/>
                <w:szCs w:val="22"/>
              </w:rPr>
              <w:t>2026 год</w:t>
            </w:r>
          </w:p>
        </w:tc>
        <w:tc>
          <w:tcPr>
            <w:tcW w:w="453" w:type="pct"/>
          </w:tcPr>
          <w:p w14:paraId="43CDBF38" w14:textId="77777777" w:rsidR="00022659" w:rsidRDefault="00022659" w:rsidP="00CD52E8">
            <w:pPr>
              <w:spacing w:after="0" w:line="259" w:lineRule="auto"/>
              <w:ind w:right="57" w:firstLine="0"/>
              <w:jc w:val="center"/>
              <w:rPr>
                <w:b/>
                <w:sz w:val="22"/>
                <w:szCs w:val="22"/>
              </w:rPr>
            </w:pPr>
          </w:p>
          <w:p w14:paraId="3CDAF641" w14:textId="77777777" w:rsidR="00022659" w:rsidRDefault="00022659" w:rsidP="00CD52E8">
            <w:pPr>
              <w:spacing w:after="0" w:line="259" w:lineRule="auto"/>
              <w:ind w:right="57" w:firstLine="0"/>
              <w:jc w:val="center"/>
              <w:rPr>
                <w:b/>
                <w:sz w:val="22"/>
                <w:szCs w:val="22"/>
              </w:rPr>
            </w:pPr>
          </w:p>
          <w:p w14:paraId="46C78EFE" w14:textId="77777777" w:rsidR="00022659" w:rsidRDefault="00022659" w:rsidP="00CD52E8">
            <w:pPr>
              <w:spacing w:after="0" w:line="259" w:lineRule="auto"/>
              <w:ind w:right="57" w:firstLine="0"/>
              <w:jc w:val="center"/>
              <w:rPr>
                <w:b/>
                <w:sz w:val="22"/>
                <w:szCs w:val="22"/>
              </w:rPr>
            </w:pPr>
          </w:p>
          <w:p w14:paraId="01A78F68" w14:textId="3725F8D3" w:rsidR="00022659" w:rsidRPr="00841B34" w:rsidRDefault="00022659" w:rsidP="00CD52E8">
            <w:pPr>
              <w:spacing w:after="0" w:line="259" w:lineRule="auto"/>
              <w:ind w:right="57" w:firstLine="0"/>
              <w:jc w:val="center"/>
              <w:rPr>
                <w:b/>
                <w:sz w:val="22"/>
                <w:szCs w:val="22"/>
              </w:rPr>
            </w:pPr>
            <w:r>
              <w:rPr>
                <w:b/>
                <w:sz w:val="22"/>
                <w:szCs w:val="22"/>
              </w:rPr>
              <w:t>2027 год</w:t>
            </w:r>
          </w:p>
        </w:tc>
        <w:tc>
          <w:tcPr>
            <w:tcW w:w="454" w:type="pct"/>
          </w:tcPr>
          <w:p w14:paraId="64B3BFFD" w14:textId="77777777" w:rsidR="00022659" w:rsidRDefault="00022659" w:rsidP="00CD52E8">
            <w:pPr>
              <w:spacing w:after="0" w:line="259" w:lineRule="auto"/>
              <w:ind w:right="57" w:firstLine="0"/>
              <w:jc w:val="center"/>
              <w:rPr>
                <w:b/>
                <w:sz w:val="22"/>
                <w:szCs w:val="22"/>
              </w:rPr>
            </w:pPr>
          </w:p>
          <w:p w14:paraId="4E96040E" w14:textId="77777777" w:rsidR="00022659" w:rsidRDefault="00022659" w:rsidP="00CD52E8">
            <w:pPr>
              <w:spacing w:after="0" w:line="259" w:lineRule="auto"/>
              <w:ind w:right="57" w:firstLine="0"/>
              <w:jc w:val="center"/>
              <w:rPr>
                <w:b/>
                <w:sz w:val="22"/>
                <w:szCs w:val="22"/>
              </w:rPr>
            </w:pPr>
          </w:p>
          <w:p w14:paraId="19D9D1AB" w14:textId="77777777" w:rsidR="00022659" w:rsidRDefault="00022659" w:rsidP="00CD52E8">
            <w:pPr>
              <w:spacing w:after="0" w:line="259" w:lineRule="auto"/>
              <w:ind w:right="57" w:firstLine="0"/>
              <w:jc w:val="center"/>
              <w:rPr>
                <w:b/>
                <w:sz w:val="22"/>
                <w:szCs w:val="22"/>
              </w:rPr>
            </w:pPr>
          </w:p>
          <w:p w14:paraId="14352BC7" w14:textId="6C26716A" w:rsidR="00022659" w:rsidRPr="00841B34" w:rsidRDefault="00022659" w:rsidP="00CD52E8">
            <w:pPr>
              <w:spacing w:after="0" w:line="259" w:lineRule="auto"/>
              <w:ind w:right="57" w:firstLine="0"/>
              <w:jc w:val="center"/>
              <w:rPr>
                <w:b/>
                <w:sz w:val="22"/>
                <w:szCs w:val="22"/>
              </w:rPr>
            </w:pPr>
            <w:r>
              <w:rPr>
                <w:b/>
                <w:sz w:val="22"/>
                <w:szCs w:val="22"/>
              </w:rPr>
              <w:t>2028 год</w:t>
            </w:r>
          </w:p>
        </w:tc>
        <w:tc>
          <w:tcPr>
            <w:tcW w:w="499" w:type="pct"/>
            <w:vMerge/>
          </w:tcPr>
          <w:p w14:paraId="40D54878" w14:textId="77777777" w:rsidR="00022659" w:rsidRPr="00841B34" w:rsidRDefault="00022659" w:rsidP="00CD52E8">
            <w:pPr>
              <w:spacing w:after="0" w:line="259" w:lineRule="auto"/>
              <w:ind w:right="57" w:firstLine="0"/>
              <w:jc w:val="center"/>
              <w:rPr>
                <w:b/>
                <w:sz w:val="22"/>
                <w:szCs w:val="22"/>
              </w:rPr>
            </w:pPr>
          </w:p>
        </w:tc>
        <w:tc>
          <w:tcPr>
            <w:tcW w:w="516" w:type="pct"/>
            <w:vMerge/>
          </w:tcPr>
          <w:p w14:paraId="5149E78E" w14:textId="77777777" w:rsidR="00022659" w:rsidRPr="00841B34" w:rsidRDefault="00022659" w:rsidP="00CD52E8">
            <w:pPr>
              <w:spacing w:after="0" w:line="259" w:lineRule="auto"/>
              <w:ind w:right="57" w:firstLine="0"/>
              <w:jc w:val="center"/>
              <w:rPr>
                <w:b/>
                <w:sz w:val="22"/>
                <w:szCs w:val="22"/>
              </w:rPr>
            </w:pPr>
          </w:p>
        </w:tc>
      </w:tr>
      <w:tr w:rsidR="000E0D34" w:rsidRPr="00841B34" w14:paraId="1F3A2E52" w14:textId="77777777" w:rsidTr="00CB6642">
        <w:trPr>
          <w:trHeight w:val="3003"/>
        </w:trPr>
        <w:tc>
          <w:tcPr>
            <w:tcW w:w="458" w:type="pct"/>
            <w:vAlign w:val="center"/>
          </w:tcPr>
          <w:p w14:paraId="4187B3F4" w14:textId="54052689" w:rsidR="000E0D34" w:rsidRPr="00022659" w:rsidRDefault="000E0D34" w:rsidP="000E0D34">
            <w:pPr>
              <w:spacing w:after="0" w:line="259" w:lineRule="auto"/>
              <w:ind w:right="57" w:firstLine="0"/>
              <w:jc w:val="center"/>
              <w:rPr>
                <w:sz w:val="22"/>
                <w:szCs w:val="22"/>
              </w:rPr>
            </w:pPr>
            <w:bookmarkStart w:id="0" w:name="_Hlk213320191"/>
            <w:r w:rsidRPr="00022659">
              <w:rPr>
                <w:sz w:val="22"/>
                <w:szCs w:val="22"/>
              </w:rPr>
              <w:t>5224</w:t>
            </w:r>
          </w:p>
        </w:tc>
        <w:tc>
          <w:tcPr>
            <w:tcW w:w="250" w:type="pct"/>
            <w:vAlign w:val="center"/>
          </w:tcPr>
          <w:p w14:paraId="0E0F6B90" w14:textId="323E0888" w:rsidR="000E0D34" w:rsidRPr="00022659" w:rsidRDefault="000E0D34" w:rsidP="000E0D34">
            <w:pPr>
              <w:spacing w:after="0" w:line="259" w:lineRule="auto"/>
              <w:ind w:right="57" w:firstLine="0"/>
              <w:jc w:val="center"/>
              <w:rPr>
                <w:sz w:val="22"/>
                <w:szCs w:val="22"/>
              </w:rPr>
            </w:pPr>
            <w:r>
              <w:rPr>
                <w:sz w:val="22"/>
                <w:szCs w:val="22"/>
              </w:rPr>
              <w:t xml:space="preserve">3 </w:t>
            </w:r>
            <w:r w:rsidRPr="00022659">
              <w:rPr>
                <w:sz w:val="22"/>
                <w:szCs w:val="22"/>
              </w:rPr>
              <w:t>У</w:t>
            </w:r>
            <w:r w:rsidR="00186B32">
              <w:rPr>
                <w:sz w:val="22"/>
                <w:szCs w:val="22"/>
              </w:rPr>
              <w:t xml:space="preserve"> - 1</w:t>
            </w:r>
          </w:p>
        </w:tc>
        <w:tc>
          <w:tcPr>
            <w:tcW w:w="497" w:type="pct"/>
          </w:tcPr>
          <w:p w14:paraId="5D4034C4" w14:textId="77777777" w:rsidR="000E0D34" w:rsidRDefault="000E0D34" w:rsidP="000E0D34">
            <w:pPr>
              <w:spacing w:after="0" w:line="259" w:lineRule="auto"/>
              <w:ind w:right="57" w:firstLine="0"/>
              <w:jc w:val="center"/>
              <w:rPr>
                <w:sz w:val="22"/>
                <w:szCs w:val="22"/>
              </w:rPr>
            </w:pPr>
          </w:p>
          <w:p w14:paraId="2809BC46" w14:textId="77777777" w:rsidR="000E0D34" w:rsidRDefault="000E0D34" w:rsidP="000E0D34">
            <w:pPr>
              <w:spacing w:after="0" w:line="259" w:lineRule="auto"/>
              <w:ind w:right="57" w:firstLine="0"/>
              <w:jc w:val="center"/>
              <w:rPr>
                <w:sz w:val="22"/>
                <w:szCs w:val="22"/>
              </w:rPr>
            </w:pPr>
          </w:p>
          <w:p w14:paraId="491B22B6" w14:textId="77777777" w:rsidR="000E0D34" w:rsidRDefault="000E0D34" w:rsidP="000E0D34">
            <w:pPr>
              <w:spacing w:after="0" w:line="259" w:lineRule="auto"/>
              <w:ind w:right="57" w:firstLine="0"/>
              <w:jc w:val="center"/>
              <w:rPr>
                <w:sz w:val="22"/>
                <w:szCs w:val="22"/>
              </w:rPr>
            </w:pPr>
          </w:p>
          <w:p w14:paraId="3B5BCB71" w14:textId="77777777" w:rsidR="000E0D34" w:rsidRDefault="000E0D34" w:rsidP="000E0D34">
            <w:pPr>
              <w:spacing w:after="0" w:line="259" w:lineRule="auto"/>
              <w:ind w:right="57" w:firstLine="0"/>
              <w:jc w:val="center"/>
              <w:rPr>
                <w:sz w:val="22"/>
                <w:szCs w:val="22"/>
              </w:rPr>
            </w:pPr>
          </w:p>
          <w:p w14:paraId="009E3794" w14:textId="310F8486" w:rsidR="000E0D34" w:rsidRPr="000E0D34" w:rsidRDefault="000E0D34" w:rsidP="000E0D34">
            <w:pPr>
              <w:spacing w:after="0" w:line="259" w:lineRule="auto"/>
              <w:ind w:right="57" w:firstLine="0"/>
              <w:jc w:val="center"/>
              <w:rPr>
                <w:sz w:val="22"/>
                <w:szCs w:val="22"/>
              </w:rPr>
            </w:pPr>
            <w:r w:rsidRPr="000E0D34">
              <w:rPr>
                <w:sz w:val="22"/>
                <w:szCs w:val="22"/>
              </w:rPr>
              <w:t>749020.000.000091</w:t>
            </w:r>
          </w:p>
        </w:tc>
        <w:tc>
          <w:tcPr>
            <w:tcW w:w="559" w:type="pct"/>
          </w:tcPr>
          <w:p w14:paraId="34B931FA" w14:textId="77777777" w:rsidR="000E0D34" w:rsidRDefault="000E0D34" w:rsidP="000E0D34">
            <w:pPr>
              <w:spacing w:after="0" w:line="259" w:lineRule="auto"/>
              <w:ind w:right="57" w:firstLine="0"/>
              <w:jc w:val="center"/>
              <w:rPr>
                <w:sz w:val="22"/>
                <w:szCs w:val="22"/>
              </w:rPr>
            </w:pPr>
          </w:p>
          <w:p w14:paraId="2018A2A2" w14:textId="77777777" w:rsidR="000E0D34" w:rsidRDefault="000E0D34" w:rsidP="000E0D34">
            <w:pPr>
              <w:spacing w:after="0" w:line="259" w:lineRule="auto"/>
              <w:ind w:right="57" w:firstLine="0"/>
              <w:jc w:val="center"/>
              <w:rPr>
                <w:sz w:val="22"/>
                <w:szCs w:val="22"/>
              </w:rPr>
            </w:pPr>
          </w:p>
          <w:p w14:paraId="35FA07A9" w14:textId="77777777" w:rsidR="000E0D34" w:rsidRDefault="000E0D34" w:rsidP="000E0D34">
            <w:pPr>
              <w:spacing w:after="0" w:line="259" w:lineRule="auto"/>
              <w:ind w:right="57" w:firstLine="0"/>
              <w:jc w:val="center"/>
              <w:rPr>
                <w:sz w:val="22"/>
                <w:szCs w:val="22"/>
              </w:rPr>
            </w:pPr>
          </w:p>
          <w:p w14:paraId="50C6C816" w14:textId="6C23D6F3" w:rsidR="000E0D34" w:rsidRPr="000E0D34" w:rsidRDefault="000E0D34" w:rsidP="000E0D34">
            <w:pPr>
              <w:spacing w:after="0" w:line="259" w:lineRule="auto"/>
              <w:ind w:right="57" w:firstLine="0"/>
              <w:jc w:val="center"/>
              <w:rPr>
                <w:sz w:val="22"/>
                <w:szCs w:val="22"/>
              </w:rPr>
            </w:pPr>
            <w:r w:rsidRPr="000E0D34">
              <w:rPr>
                <w:sz w:val="22"/>
                <w:szCs w:val="22"/>
              </w:rPr>
              <w:t>Услуги по проведению производственного мониторинга</w:t>
            </w:r>
          </w:p>
        </w:tc>
        <w:tc>
          <w:tcPr>
            <w:tcW w:w="498" w:type="pct"/>
          </w:tcPr>
          <w:p w14:paraId="556FD835" w14:textId="77777777" w:rsidR="000E0D34" w:rsidRDefault="000E0D34" w:rsidP="000E0D34">
            <w:pPr>
              <w:spacing w:after="0" w:line="259" w:lineRule="auto"/>
              <w:ind w:right="57" w:firstLine="0"/>
              <w:jc w:val="center"/>
              <w:rPr>
                <w:sz w:val="22"/>
                <w:szCs w:val="22"/>
              </w:rPr>
            </w:pPr>
          </w:p>
          <w:p w14:paraId="58D4ACB2" w14:textId="77777777" w:rsidR="000E0D34" w:rsidRDefault="000E0D34" w:rsidP="000E0D34">
            <w:pPr>
              <w:spacing w:after="0" w:line="259" w:lineRule="auto"/>
              <w:ind w:right="57" w:firstLine="0"/>
              <w:jc w:val="center"/>
              <w:rPr>
                <w:sz w:val="22"/>
                <w:szCs w:val="22"/>
              </w:rPr>
            </w:pPr>
          </w:p>
          <w:p w14:paraId="74F6CAFB" w14:textId="3EC64F15" w:rsidR="000E0D34" w:rsidRPr="000E0D34" w:rsidRDefault="000E0D34" w:rsidP="000E0D34">
            <w:pPr>
              <w:spacing w:after="0" w:line="259" w:lineRule="auto"/>
              <w:ind w:right="57" w:firstLine="0"/>
              <w:jc w:val="center"/>
              <w:rPr>
                <w:sz w:val="22"/>
                <w:szCs w:val="22"/>
              </w:rPr>
            </w:pPr>
            <w:r w:rsidRPr="000E0D34">
              <w:rPr>
                <w:sz w:val="22"/>
                <w:szCs w:val="22"/>
              </w:rPr>
              <w:t>Услуги производственного контроля состоянии условии труда на рабочих местах</w:t>
            </w:r>
          </w:p>
        </w:tc>
        <w:tc>
          <w:tcPr>
            <w:tcW w:w="362" w:type="pct"/>
            <w:vAlign w:val="center"/>
          </w:tcPr>
          <w:p w14:paraId="72C56D7B" w14:textId="521B7C0F" w:rsidR="000E0D34" w:rsidRPr="00022659" w:rsidRDefault="000E0D34" w:rsidP="000E0D34">
            <w:pPr>
              <w:spacing w:after="0" w:line="259" w:lineRule="auto"/>
              <w:ind w:right="57" w:firstLine="0"/>
              <w:jc w:val="center"/>
              <w:rPr>
                <w:sz w:val="22"/>
                <w:szCs w:val="22"/>
              </w:rPr>
            </w:pPr>
            <w:r w:rsidRPr="00022659">
              <w:rPr>
                <w:sz w:val="22"/>
                <w:szCs w:val="22"/>
              </w:rPr>
              <w:t>1</w:t>
            </w:r>
          </w:p>
        </w:tc>
        <w:tc>
          <w:tcPr>
            <w:tcW w:w="453" w:type="pct"/>
            <w:vAlign w:val="center"/>
          </w:tcPr>
          <w:p w14:paraId="1B06087D" w14:textId="12B104FA" w:rsidR="000E0D34" w:rsidRPr="00022659" w:rsidRDefault="000E0D34" w:rsidP="000E0D34">
            <w:pPr>
              <w:spacing w:after="0" w:line="259" w:lineRule="auto"/>
              <w:ind w:right="57" w:firstLine="0"/>
              <w:jc w:val="center"/>
              <w:rPr>
                <w:sz w:val="22"/>
                <w:szCs w:val="22"/>
              </w:rPr>
            </w:pPr>
            <w:r>
              <w:rPr>
                <w:sz w:val="22"/>
                <w:szCs w:val="22"/>
              </w:rPr>
              <w:t>2 004 000,00</w:t>
            </w:r>
          </w:p>
        </w:tc>
        <w:tc>
          <w:tcPr>
            <w:tcW w:w="453" w:type="pct"/>
          </w:tcPr>
          <w:p w14:paraId="5D91D897" w14:textId="77777777" w:rsidR="000E0D34" w:rsidRDefault="000E0D34" w:rsidP="000E0D34">
            <w:pPr>
              <w:spacing w:after="0" w:line="240" w:lineRule="auto"/>
              <w:ind w:firstLine="0"/>
              <w:jc w:val="center"/>
              <w:rPr>
                <w:sz w:val="22"/>
                <w:szCs w:val="22"/>
              </w:rPr>
            </w:pPr>
          </w:p>
          <w:p w14:paraId="09746D92" w14:textId="77777777" w:rsidR="000E0D34" w:rsidRDefault="000E0D34" w:rsidP="000E0D34">
            <w:pPr>
              <w:spacing w:after="0" w:line="240" w:lineRule="auto"/>
              <w:ind w:firstLine="0"/>
              <w:jc w:val="center"/>
              <w:rPr>
                <w:sz w:val="22"/>
                <w:szCs w:val="22"/>
              </w:rPr>
            </w:pPr>
          </w:p>
          <w:p w14:paraId="4B1DE30D" w14:textId="77777777" w:rsidR="000E0D34" w:rsidRDefault="000E0D34" w:rsidP="000E0D34">
            <w:pPr>
              <w:spacing w:after="0" w:line="240" w:lineRule="auto"/>
              <w:ind w:firstLine="0"/>
              <w:jc w:val="center"/>
              <w:rPr>
                <w:sz w:val="22"/>
                <w:szCs w:val="22"/>
              </w:rPr>
            </w:pPr>
          </w:p>
          <w:p w14:paraId="07B9756E" w14:textId="77777777" w:rsidR="000E0D34" w:rsidRDefault="000E0D34" w:rsidP="000E0D34">
            <w:pPr>
              <w:spacing w:after="0" w:line="240" w:lineRule="auto"/>
              <w:ind w:firstLine="0"/>
              <w:jc w:val="center"/>
              <w:rPr>
                <w:sz w:val="22"/>
                <w:szCs w:val="22"/>
              </w:rPr>
            </w:pPr>
          </w:p>
          <w:p w14:paraId="125BD718" w14:textId="77777777" w:rsidR="000E0D34" w:rsidRDefault="000E0D34" w:rsidP="000E0D34">
            <w:pPr>
              <w:spacing w:after="0" w:line="240" w:lineRule="auto"/>
              <w:ind w:firstLine="0"/>
              <w:jc w:val="center"/>
              <w:rPr>
                <w:sz w:val="22"/>
                <w:szCs w:val="22"/>
              </w:rPr>
            </w:pPr>
          </w:p>
          <w:p w14:paraId="5D7D31DC" w14:textId="70DABB99" w:rsidR="000E0D34" w:rsidRPr="00022659" w:rsidRDefault="000E0D34" w:rsidP="000E0D34">
            <w:pPr>
              <w:spacing w:after="0" w:line="240" w:lineRule="auto"/>
              <w:ind w:firstLine="0"/>
              <w:jc w:val="center"/>
              <w:rPr>
                <w:color w:val="auto"/>
                <w:sz w:val="22"/>
                <w:szCs w:val="22"/>
              </w:rPr>
            </w:pPr>
            <w:r>
              <w:rPr>
                <w:sz w:val="22"/>
                <w:szCs w:val="22"/>
              </w:rPr>
              <w:t>2 104 000,00</w:t>
            </w:r>
          </w:p>
          <w:p w14:paraId="5180602D" w14:textId="651E7BB8" w:rsidR="000E0D34" w:rsidRPr="00022659" w:rsidRDefault="000E0D34" w:rsidP="000E0D34">
            <w:pPr>
              <w:spacing w:after="0" w:line="259" w:lineRule="auto"/>
              <w:ind w:right="57" w:firstLine="0"/>
              <w:jc w:val="center"/>
              <w:rPr>
                <w:sz w:val="22"/>
                <w:szCs w:val="22"/>
              </w:rPr>
            </w:pPr>
          </w:p>
        </w:tc>
        <w:tc>
          <w:tcPr>
            <w:tcW w:w="454" w:type="pct"/>
          </w:tcPr>
          <w:p w14:paraId="2B0C711B" w14:textId="77777777" w:rsidR="000E0D34" w:rsidRPr="00022659" w:rsidRDefault="000E0D34" w:rsidP="000E0D34">
            <w:pPr>
              <w:spacing w:after="0" w:line="259" w:lineRule="auto"/>
              <w:ind w:right="57" w:firstLine="0"/>
              <w:jc w:val="center"/>
              <w:rPr>
                <w:sz w:val="22"/>
                <w:szCs w:val="22"/>
              </w:rPr>
            </w:pPr>
          </w:p>
          <w:p w14:paraId="39D26602" w14:textId="77777777" w:rsidR="000E0D34" w:rsidRPr="00022659" w:rsidRDefault="000E0D34" w:rsidP="000E0D34">
            <w:pPr>
              <w:spacing w:after="0" w:line="259" w:lineRule="auto"/>
              <w:ind w:right="57" w:firstLine="0"/>
              <w:jc w:val="center"/>
              <w:rPr>
                <w:sz w:val="22"/>
                <w:szCs w:val="22"/>
              </w:rPr>
            </w:pPr>
          </w:p>
          <w:p w14:paraId="377AD6F2" w14:textId="77777777" w:rsidR="000E0D34" w:rsidRPr="00022659" w:rsidRDefault="000E0D34" w:rsidP="000E0D34">
            <w:pPr>
              <w:spacing w:after="0" w:line="259" w:lineRule="auto"/>
              <w:ind w:right="57" w:firstLine="0"/>
              <w:jc w:val="center"/>
              <w:rPr>
                <w:sz w:val="22"/>
                <w:szCs w:val="22"/>
              </w:rPr>
            </w:pPr>
          </w:p>
          <w:p w14:paraId="2CAE9018" w14:textId="77777777" w:rsidR="000E0D34" w:rsidRPr="00022659" w:rsidRDefault="000E0D34" w:rsidP="000E0D34">
            <w:pPr>
              <w:spacing w:after="0" w:line="259" w:lineRule="auto"/>
              <w:ind w:right="57" w:firstLine="0"/>
              <w:jc w:val="center"/>
              <w:rPr>
                <w:sz w:val="22"/>
                <w:szCs w:val="22"/>
              </w:rPr>
            </w:pPr>
          </w:p>
          <w:p w14:paraId="4278A6E3" w14:textId="77777777" w:rsidR="000E0D34" w:rsidRPr="00022659" w:rsidRDefault="000E0D34" w:rsidP="000E0D34">
            <w:pPr>
              <w:spacing w:after="0" w:line="259" w:lineRule="auto"/>
              <w:ind w:right="57" w:firstLine="0"/>
              <w:jc w:val="center"/>
              <w:rPr>
                <w:sz w:val="22"/>
                <w:szCs w:val="22"/>
              </w:rPr>
            </w:pPr>
          </w:p>
          <w:p w14:paraId="44F6841A" w14:textId="5892F510" w:rsidR="000E0D34" w:rsidRPr="00022659" w:rsidRDefault="000E0D34" w:rsidP="000E0D34">
            <w:pPr>
              <w:spacing w:after="0" w:line="259" w:lineRule="auto"/>
              <w:ind w:right="57" w:firstLine="0"/>
              <w:jc w:val="center"/>
              <w:rPr>
                <w:sz w:val="22"/>
                <w:szCs w:val="22"/>
              </w:rPr>
            </w:pPr>
            <w:r>
              <w:rPr>
                <w:sz w:val="22"/>
                <w:szCs w:val="22"/>
              </w:rPr>
              <w:t>2 209 000,00</w:t>
            </w:r>
          </w:p>
        </w:tc>
        <w:tc>
          <w:tcPr>
            <w:tcW w:w="499" w:type="pct"/>
          </w:tcPr>
          <w:p w14:paraId="18D8E4C8" w14:textId="28F456CB" w:rsidR="000E0D34" w:rsidRPr="00022659" w:rsidRDefault="000E0D34" w:rsidP="000E0D34">
            <w:pPr>
              <w:spacing w:after="0" w:line="259" w:lineRule="auto"/>
              <w:ind w:right="57" w:firstLine="0"/>
              <w:jc w:val="center"/>
              <w:rPr>
                <w:sz w:val="22"/>
                <w:szCs w:val="22"/>
              </w:rPr>
            </w:pPr>
            <w:r w:rsidRPr="00022659">
              <w:rPr>
                <w:sz w:val="22"/>
                <w:szCs w:val="22"/>
              </w:rPr>
              <w:t>1% от планируемой суммы закупка без учета налога на добавленную стоимость, тенге</w:t>
            </w:r>
          </w:p>
        </w:tc>
        <w:tc>
          <w:tcPr>
            <w:tcW w:w="516" w:type="pct"/>
          </w:tcPr>
          <w:p w14:paraId="19721A0F" w14:textId="77777777" w:rsidR="000E0D34" w:rsidRPr="00022659" w:rsidRDefault="000E0D34" w:rsidP="000E0D34">
            <w:pPr>
              <w:spacing w:after="0" w:line="259" w:lineRule="auto"/>
              <w:ind w:right="57" w:firstLine="0"/>
              <w:jc w:val="center"/>
              <w:rPr>
                <w:sz w:val="22"/>
                <w:szCs w:val="22"/>
              </w:rPr>
            </w:pPr>
          </w:p>
          <w:p w14:paraId="495E6500" w14:textId="77777777" w:rsidR="000E0D34" w:rsidRPr="00022659" w:rsidRDefault="000E0D34" w:rsidP="000E0D34">
            <w:pPr>
              <w:spacing w:after="0" w:line="259" w:lineRule="auto"/>
              <w:ind w:right="57" w:firstLine="0"/>
              <w:jc w:val="center"/>
              <w:rPr>
                <w:sz w:val="22"/>
                <w:szCs w:val="22"/>
              </w:rPr>
            </w:pPr>
          </w:p>
          <w:p w14:paraId="455589A4" w14:textId="77777777" w:rsidR="000E0D34" w:rsidRPr="00022659" w:rsidRDefault="000E0D34" w:rsidP="000E0D34">
            <w:pPr>
              <w:spacing w:after="0" w:line="259" w:lineRule="auto"/>
              <w:ind w:right="57" w:firstLine="0"/>
              <w:jc w:val="center"/>
              <w:rPr>
                <w:sz w:val="22"/>
                <w:szCs w:val="22"/>
              </w:rPr>
            </w:pPr>
          </w:p>
          <w:p w14:paraId="756783DA" w14:textId="7D8E2DD8" w:rsidR="000E0D34" w:rsidRPr="00022659" w:rsidRDefault="000E0D34" w:rsidP="000E0D34">
            <w:pPr>
              <w:spacing w:after="0" w:line="259" w:lineRule="auto"/>
              <w:ind w:right="57" w:firstLine="0"/>
              <w:jc w:val="center"/>
              <w:rPr>
                <w:sz w:val="22"/>
                <w:szCs w:val="22"/>
              </w:rPr>
            </w:pPr>
            <w:r w:rsidRPr="00022659">
              <w:rPr>
                <w:sz w:val="22"/>
                <w:szCs w:val="22"/>
              </w:rPr>
              <w:t>95%</w:t>
            </w:r>
          </w:p>
        </w:tc>
      </w:tr>
      <w:bookmarkEnd w:id="0"/>
    </w:tbl>
    <w:p w14:paraId="56C84B54" w14:textId="430E45AC" w:rsidR="00803A8B" w:rsidRDefault="00803A8B" w:rsidP="00594811">
      <w:pPr>
        <w:spacing w:after="0" w:line="259" w:lineRule="auto"/>
        <w:ind w:right="57" w:firstLine="0"/>
        <w:rPr>
          <w:sz w:val="22"/>
          <w:szCs w:val="22"/>
        </w:rPr>
      </w:pPr>
    </w:p>
    <w:p w14:paraId="42D19957" w14:textId="77777777" w:rsidR="00022659" w:rsidRPr="00841B34" w:rsidRDefault="00022659" w:rsidP="00594811">
      <w:pPr>
        <w:spacing w:after="0" w:line="259" w:lineRule="auto"/>
        <w:ind w:right="57" w:firstLine="0"/>
        <w:rPr>
          <w:sz w:val="22"/>
          <w:szCs w:val="22"/>
        </w:rPr>
      </w:pPr>
    </w:p>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1E195452" w14:textId="5155BD0D" w:rsidR="00A66187" w:rsidRPr="00A42781" w:rsidRDefault="00A66187" w:rsidP="00A66187">
      <w:pPr>
        <w:spacing w:after="0"/>
        <w:ind w:right="57" w:firstLine="708"/>
        <w:rPr>
          <w:b/>
          <w:bCs/>
          <w:i/>
          <w:iCs/>
          <w:sz w:val="28"/>
          <w:szCs w:val="28"/>
          <w:highlight w:val="red"/>
        </w:rPr>
      </w:pPr>
      <w:r w:rsidRPr="00A42781">
        <w:rPr>
          <w:b/>
          <w:bCs/>
          <w:i/>
          <w:iCs/>
          <w:sz w:val="28"/>
          <w:szCs w:val="28"/>
          <w:highlight w:val="red"/>
        </w:rPr>
        <w:lastRenderedPageBreak/>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4CC4A036" w14:textId="77777777" w:rsidR="00A66187" w:rsidRPr="00A42781" w:rsidRDefault="00A66187" w:rsidP="00A66187">
      <w:pPr>
        <w:spacing w:after="0"/>
        <w:ind w:right="57" w:firstLine="708"/>
        <w:rPr>
          <w:b/>
          <w:bCs/>
          <w:i/>
          <w:iCs/>
          <w:sz w:val="28"/>
          <w:szCs w:val="28"/>
          <w:highlight w:val="red"/>
        </w:rPr>
      </w:pPr>
      <w:r w:rsidRPr="00A42781">
        <w:rPr>
          <w:b/>
          <w:bCs/>
          <w:i/>
          <w:iCs/>
          <w:sz w:val="28"/>
          <w:szCs w:val="28"/>
          <w:highlight w:val="red"/>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12E0DB8C" w14:textId="2E4309F7" w:rsidR="00A66187" w:rsidRPr="00A66187" w:rsidRDefault="00A66187" w:rsidP="00A66187">
      <w:pPr>
        <w:spacing w:after="0"/>
        <w:ind w:right="57" w:firstLine="708"/>
        <w:rPr>
          <w:b/>
          <w:bCs/>
          <w:i/>
          <w:iCs/>
          <w:sz w:val="22"/>
          <w:szCs w:val="22"/>
        </w:rPr>
      </w:pPr>
      <w:r w:rsidRPr="00A42781">
        <w:rPr>
          <w:b/>
          <w:bCs/>
          <w:i/>
          <w:iCs/>
          <w:sz w:val="28"/>
          <w:szCs w:val="28"/>
          <w:highlight w:val="red"/>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Default="00C82FDB" w:rsidP="00594811">
      <w:pPr>
        <w:spacing w:after="0"/>
        <w:ind w:right="57" w:firstLine="0"/>
        <w:jc w:val="center"/>
        <w:rPr>
          <w:b/>
          <w:sz w:val="22"/>
          <w:szCs w:val="22"/>
        </w:rPr>
      </w:pPr>
      <w:r w:rsidRPr="00841B34">
        <w:rPr>
          <w:b/>
          <w:sz w:val="22"/>
          <w:szCs w:val="22"/>
        </w:rPr>
        <w:t>3. Требования к потенциальному поставщику:</w:t>
      </w:r>
    </w:p>
    <w:p w14:paraId="77C07004" w14:textId="77777777" w:rsidR="00186B32" w:rsidRPr="00841B34" w:rsidRDefault="00186B32" w:rsidP="00594811">
      <w:pPr>
        <w:spacing w:after="0"/>
        <w:ind w:right="57" w:firstLine="0"/>
        <w:jc w:val="center"/>
        <w:rPr>
          <w:sz w:val="22"/>
          <w:szCs w:val="22"/>
        </w:rPr>
      </w:pPr>
    </w:p>
    <w:p w14:paraId="4A3B9ECD" w14:textId="77777777" w:rsidR="00186B32" w:rsidRPr="00841B34" w:rsidRDefault="00000000" w:rsidP="00186B32">
      <w:pPr>
        <w:pStyle w:val="20"/>
        <w:spacing w:after="0"/>
        <w:ind w:left="0" w:right="57" w:firstLine="0"/>
        <w:rPr>
          <w:sz w:val="22"/>
          <w:szCs w:val="22"/>
        </w:rPr>
      </w:pPr>
      <w:r w:rsidRPr="00841B34">
        <w:rPr>
          <w:sz w:val="22"/>
          <w:szCs w:val="22"/>
        </w:rPr>
        <w:t xml:space="preserve"> </w:t>
      </w:r>
      <w:r w:rsidR="00186B32" w:rsidRPr="00841B34">
        <w:rPr>
          <w:sz w:val="22"/>
          <w:szCs w:val="22"/>
        </w:rPr>
        <w:t>3.2.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C4800ED" w14:textId="77777777" w:rsidR="00186B32" w:rsidRPr="00841B34" w:rsidRDefault="00186B32" w:rsidP="00186B32">
      <w:pPr>
        <w:spacing w:after="0" w:line="259" w:lineRule="auto"/>
        <w:ind w:right="57" w:firstLine="0"/>
        <w:rPr>
          <w:sz w:val="22"/>
          <w:szCs w:val="22"/>
        </w:rPr>
      </w:pPr>
      <w:r w:rsidRPr="00841B34">
        <w:rPr>
          <w:sz w:val="22"/>
          <w:szCs w:val="22"/>
        </w:rPr>
        <w:t xml:space="preserve"> </w:t>
      </w:r>
    </w:p>
    <w:p w14:paraId="215877DD" w14:textId="77777777" w:rsidR="00186B32" w:rsidRPr="00841B34" w:rsidRDefault="00186B32" w:rsidP="00186B32">
      <w:pPr>
        <w:spacing w:after="0"/>
        <w:ind w:right="57" w:firstLine="0"/>
        <w:rPr>
          <w:sz w:val="22"/>
          <w:szCs w:val="22"/>
        </w:rPr>
      </w:pPr>
      <w:r w:rsidRPr="00841B34">
        <w:rPr>
          <w:sz w:val="22"/>
          <w:szCs w:val="22"/>
        </w:rPr>
        <w:t>3.2.1. Потенциальный поставщик должен иметь следующих специалистов:</w:t>
      </w:r>
    </w:p>
    <w:p w14:paraId="59FB2530" w14:textId="77777777" w:rsidR="00186B32" w:rsidRPr="00841B34" w:rsidRDefault="00186B32" w:rsidP="00186B32">
      <w:pPr>
        <w:spacing w:after="0" w:line="259" w:lineRule="auto"/>
        <w:ind w:right="57" w:firstLine="0"/>
        <w:rPr>
          <w:sz w:val="22"/>
          <w:szCs w:val="22"/>
        </w:rPr>
      </w:pPr>
      <w:r w:rsidRPr="00841B34">
        <w:rPr>
          <w:sz w:val="22"/>
          <w:szCs w:val="22"/>
        </w:rPr>
        <w:t xml:space="preserve"> </w:t>
      </w:r>
    </w:p>
    <w:tbl>
      <w:tblPr>
        <w:tblStyle w:val="TableGrid"/>
        <w:tblW w:w="1502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1916"/>
        <w:gridCol w:w="11781"/>
        <w:gridCol w:w="1323"/>
      </w:tblGrid>
      <w:tr w:rsidR="00186B32" w:rsidRPr="00841B34" w14:paraId="69E92D08" w14:textId="77777777" w:rsidTr="00186B32">
        <w:trPr>
          <w:trHeight w:val="632"/>
        </w:trPr>
        <w:tc>
          <w:tcPr>
            <w:tcW w:w="1917" w:type="dxa"/>
          </w:tcPr>
          <w:p w14:paraId="12CE7C5B" w14:textId="77777777" w:rsidR="00186B32" w:rsidRPr="00841B34" w:rsidRDefault="00186B32" w:rsidP="00B40956">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1827" w:type="dxa"/>
            <w:vAlign w:val="center"/>
          </w:tcPr>
          <w:p w14:paraId="16856157" w14:textId="77777777" w:rsidR="00186B32" w:rsidRPr="00841B34" w:rsidRDefault="00186B32" w:rsidP="00B40956">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276" w:type="dxa"/>
            <w:vAlign w:val="center"/>
          </w:tcPr>
          <w:p w14:paraId="15F3F583" w14:textId="77777777" w:rsidR="00186B32" w:rsidRPr="00841B34" w:rsidRDefault="00186B32" w:rsidP="00B40956">
            <w:pPr>
              <w:spacing w:after="0" w:line="259" w:lineRule="auto"/>
              <w:ind w:right="57" w:firstLine="0"/>
              <w:rPr>
                <w:sz w:val="22"/>
                <w:szCs w:val="22"/>
              </w:rPr>
            </w:pPr>
            <w:r w:rsidRPr="00841B34">
              <w:rPr>
                <w:b/>
                <w:sz w:val="22"/>
                <w:szCs w:val="22"/>
              </w:rPr>
              <w:t>Количество</w:t>
            </w:r>
          </w:p>
        </w:tc>
      </w:tr>
      <w:tr w:rsidR="00186B32" w:rsidRPr="00841B34" w14:paraId="75E3F7D1" w14:textId="77777777" w:rsidTr="00186B32">
        <w:trPr>
          <w:trHeight w:val="450"/>
        </w:trPr>
        <w:tc>
          <w:tcPr>
            <w:tcW w:w="1917" w:type="dxa"/>
          </w:tcPr>
          <w:p w14:paraId="317169A5" w14:textId="32384358" w:rsidR="00186B32" w:rsidRPr="00841B34" w:rsidRDefault="00186B32" w:rsidP="00B40956">
            <w:pPr>
              <w:spacing w:after="0" w:line="259" w:lineRule="auto"/>
              <w:ind w:right="57" w:firstLine="0"/>
              <w:rPr>
                <w:sz w:val="22"/>
                <w:szCs w:val="22"/>
              </w:rPr>
            </w:pPr>
            <w:r>
              <w:rPr>
                <w:sz w:val="22"/>
                <w:szCs w:val="22"/>
              </w:rPr>
              <w:t xml:space="preserve">Специалист </w:t>
            </w:r>
          </w:p>
        </w:tc>
        <w:tc>
          <w:tcPr>
            <w:tcW w:w="11827" w:type="dxa"/>
          </w:tcPr>
          <w:p w14:paraId="30A8ECD8" w14:textId="5164A895" w:rsidR="00186B32" w:rsidRDefault="00186B32" w:rsidP="00186B32">
            <w:pPr>
              <w:spacing w:after="0" w:line="259" w:lineRule="auto"/>
              <w:ind w:right="57" w:firstLine="0"/>
              <w:rPr>
                <w:sz w:val="22"/>
                <w:szCs w:val="22"/>
              </w:rPr>
            </w:pPr>
            <w:r w:rsidRPr="00186B32">
              <w:rPr>
                <w:sz w:val="22"/>
                <w:szCs w:val="22"/>
              </w:rPr>
              <w:t xml:space="preserve">Предоставить </w:t>
            </w:r>
            <w:r>
              <w:rPr>
                <w:sz w:val="22"/>
                <w:szCs w:val="22"/>
              </w:rPr>
              <w:t xml:space="preserve">электронные </w:t>
            </w:r>
            <w:r w:rsidRPr="00186B32">
              <w:rPr>
                <w:sz w:val="22"/>
                <w:szCs w:val="22"/>
              </w:rPr>
              <w:t>копии Сертификатов дающие право проводить:</w:t>
            </w:r>
          </w:p>
          <w:p w14:paraId="3E7F22E7" w14:textId="6C23B378" w:rsidR="00186B32" w:rsidRPr="00186B32" w:rsidRDefault="00186B32" w:rsidP="00186B32">
            <w:pPr>
              <w:spacing w:after="0" w:line="259" w:lineRule="auto"/>
              <w:ind w:right="57" w:firstLine="0"/>
              <w:rPr>
                <w:sz w:val="22"/>
                <w:szCs w:val="22"/>
              </w:rPr>
            </w:pPr>
            <w:r w:rsidRPr="00186B32">
              <w:rPr>
                <w:sz w:val="22"/>
                <w:szCs w:val="22"/>
              </w:rPr>
              <w:t>- аттестацию производственных объектов по условиям труда;</w:t>
            </w:r>
          </w:p>
          <w:p w14:paraId="2E6AD761" w14:textId="77777777" w:rsidR="00186B32" w:rsidRPr="00186B32" w:rsidRDefault="00186B32" w:rsidP="00186B32">
            <w:pPr>
              <w:spacing w:after="0" w:line="259" w:lineRule="auto"/>
              <w:ind w:right="57" w:firstLine="0"/>
              <w:rPr>
                <w:sz w:val="22"/>
                <w:szCs w:val="22"/>
              </w:rPr>
            </w:pPr>
            <w:r w:rsidRPr="00186B32">
              <w:rPr>
                <w:sz w:val="22"/>
                <w:szCs w:val="22"/>
              </w:rPr>
              <w:t xml:space="preserve">- радиологические измерения гамма, альфа и бета-фона, содержание радона, </w:t>
            </w:r>
            <w:proofErr w:type="spellStart"/>
            <w:r w:rsidRPr="00186B32">
              <w:rPr>
                <w:sz w:val="22"/>
                <w:szCs w:val="22"/>
              </w:rPr>
              <w:t>торона</w:t>
            </w:r>
            <w:proofErr w:type="spellEnd"/>
            <w:r w:rsidRPr="00186B32">
              <w:rPr>
                <w:sz w:val="22"/>
                <w:szCs w:val="22"/>
              </w:rPr>
              <w:t xml:space="preserve"> которые выполняются согласно гигиеническим нормативам к обеспечению радиационной безопасности;</w:t>
            </w:r>
          </w:p>
          <w:p w14:paraId="53D56773" w14:textId="77777777" w:rsidR="00186B32" w:rsidRPr="00186B32" w:rsidRDefault="00186B32" w:rsidP="00186B32">
            <w:pPr>
              <w:spacing w:after="0" w:line="259" w:lineRule="auto"/>
              <w:ind w:right="57" w:firstLine="0"/>
              <w:rPr>
                <w:sz w:val="22"/>
                <w:szCs w:val="22"/>
              </w:rPr>
            </w:pPr>
            <w:r w:rsidRPr="00186B32">
              <w:rPr>
                <w:sz w:val="22"/>
                <w:szCs w:val="22"/>
              </w:rPr>
              <w:lastRenderedPageBreak/>
              <w:t>- замеры параметров микроклимата (температура, относительная влажность, скорость движения воздуха, химические факторы/ вредные химические вещества воздуха рабочей зоны) согласно действующих требований НПА РК к воздуху рабочей зоны;</w:t>
            </w:r>
          </w:p>
          <w:p w14:paraId="3CEE7DFF" w14:textId="77777777" w:rsidR="00186B32" w:rsidRPr="00186B32" w:rsidRDefault="00186B32" w:rsidP="00186B32">
            <w:pPr>
              <w:spacing w:after="0" w:line="259" w:lineRule="auto"/>
              <w:ind w:right="57" w:firstLine="0"/>
              <w:rPr>
                <w:sz w:val="22"/>
                <w:szCs w:val="22"/>
              </w:rPr>
            </w:pPr>
            <w:r w:rsidRPr="00186B32">
              <w:rPr>
                <w:sz w:val="22"/>
                <w:szCs w:val="22"/>
              </w:rPr>
              <w:t>- замеры уровня искусственной и естественной освещенности;</w:t>
            </w:r>
          </w:p>
          <w:p w14:paraId="24646399" w14:textId="77777777" w:rsidR="00186B32" w:rsidRPr="00186B32" w:rsidRDefault="00186B32" w:rsidP="00186B32">
            <w:pPr>
              <w:spacing w:after="0" w:line="259" w:lineRule="auto"/>
              <w:ind w:right="57" w:firstLine="0"/>
              <w:rPr>
                <w:sz w:val="22"/>
                <w:szCs w:val="22"/>
              </w:rPr>
            </w:pPr>
            <w:r w:rsidRPr="00186B32">
              <w:rPr>
                <w:sz w:val="22"/>
                <w:szCs w:val="22"/>
              </w:rPr>
              <w:t>- замеры уровней шума и инфразвука;</w:t>
            </w:r>
          </w:p>
          <w:p w14:paraId="3A4DB4C2" w14:textId="77777777" w:rsidR="00186B32" w:rsidRPr="00186B32" w:rsidRDefault="00186B32" w:rsidP="00186B32">
            <w:pPr>
              <w:spacing w:after="0" w:line="259" w:lineRule="auto"/>
              <w:ind w:right="57" w:firstLine="0"/>
              <w:rPr>
                <w:sz w:val="22"/>
                <w:szCs w:val="22"/>
              </w:rPr>
            </w:pPr>
            <w:r w:rsidRPr="00186B32">
              <w:rPr>
                <w:sz w:val="22"/>
                <w:szCs w:val="22"/>
              </w:rPr>
              <w:t>- замеры общей и локальной вибрации;</w:t>
            </w:r>
          </w:p>
          <w:p w14:paraId="66EE9B55" w14:textId="521C3797" w:rsidR="00186B32" w:rsidRPr="00841B34" w:rsidRDefault="00186B32" w:rsidP="00186B32">
            <w:pPr>
              <w:spacing w:after="0" w:line="259" w:lineRule="auto"/>
              <w:ind w:right="57" w:firstLine="0"/>
              <w:rPr>
                <w:sz w:val="22"/>
                <w:szCs w:val="22"/>
              </w:rPr>
            </w:pPr>
            <w:r w:rsidRPr="00186B32">
              <w:rPr>
                <w:sz w:val="22"/>
                <w:szCs w:val="22"/>
              </w:rPr>
              <w:t>- замеры уровней электромагнитных полей.</w:t>
            </w:r>
          </w:p>
        </w:tc>
        <w:tc>
          <w:tcPr>
            <w:tcW w:w="1276" w:type="dxa"/>
            <w:vAlign w:val="center"/>
          </w:tcPr>
          <w:p w14:paraId="6AC9F527" w14:textId="1F8D6FC7" w:rsidR="00186B32" w:rsidRPr="00841B34" w:rsidRDefault="00186B32" w:rsidP="00186B32">
            <w:pPr>
              <w:spacing w:after="0" w:line="259" w:lineRule="auto"/>
              <w:ind w:right="57" w:firstLine="0"/>
              <w:jc w:val="center"/>
              <w:rPr>
                <w:sz w:val="22"/>
                <w:szCs w:val="22"/>
              </w:rPr>
            </w:pPr>
            <w:r>
              <w:rPr>
                <w:sz w:val="22"/>
                <w:szCs w:val="22"/>
              </w:rPr>
              <w:lastRenderedPageBreak/>
              <w:t>2</w:t>
            </w:r>
          </w:p>
        </w:tc>
      </w:tr>
    </w:tbl>
    <w:p w14:paraId="18D25E57" w14:textId="45A701F7" w:rsidR="00F955D4" w:rsidRPr="00841B34" w:rsidRDefault="00F955D4" w:rsidP="00186B32">
      <w:pPr>
        <w:spacing w:after="0" w:line="259" w:lineRule="auto"/>
        <w:ind w:right="57" w:firstLine="0"/>
        <w:rPr>
          <w:sz w:val="22"/>
          <w:szCs w:val="22"/>
        </w:rPr>
      </w:pPr>
    </w:p>
    <w:p w14:paraId="11F8CA2E" w14:textId="4BC22E6C" w:rsidR="000E0D34" w:rsidRPr="00841B34" w:rsidRDefault="00000000" w:rsidP="000E0D34">
      <w:pPr>
        <w:spacing w:after="0"/>
        <w:ind w:right="57" w:firstLine="0"/>
        <w:jc w:val="center"/>
        <w:rPr>
          <w:sz w:val="22"/>
          <w:szCs w:val="22"/>
        </w:rPr>
      </w:pPr>
      <w:r w:rsidRPr="00841B34">
        <w:rPr>
          <w:b/>
          <w:sz w:val="22"/>
          <w:szCs w:val="22"/>
        </w:rPr>
        <w:t>3.</w:t>
      </w:r>
      <w:r w:rsidR="00FF55E9">
        <w:rPr>
          <w:b/>
          <w:sz w:val="22"/>
          <w:szCs w:val="22"/>
        </w:rPr>
        <w:t>2</w:t>
      </w:r>
      <w:r w:rsidRPr="00841B34">
        <w:rPr>
          <w:b/>
          <w:sz w:val="22"/>
          <w:szCs w:val="22"/>
        </w:rPr>
        <w:t xml:space="preserve">. </w:t>
      </w:r>
      <w:r w:rsidR="000E0D34" w:rsidRPr="000E0D34">
        <w:rPr>
          <w:b/>
          <w:sz w:val="22"/>
          <w:szCs w:val="22"/>
        </w:rPr>
        <w:t>Иные требования, предусмотренные законодательством Республики Казахстан или международными договорами Республики Казахстан</w:t>
      </w:r>
    </w:p>
    <w:p w14:paraId="10711324" w14:textId="68B4B167" w:rsidR="00803A8B" w:rsidRPr="00841B34" w:rsidRDefault="00803A8B" w:rsidP="00594811">
      <w:pPr>
        <w:pStyle w:val="1"/>
        <w:spacing w:after="0"/>
        <w:ind w:left="0" w:right="57" w:firstLine="0"/>
        <w:jc w:val="both"/>
        <w:rPr>
          <w:sz w:val="22"/>
          <w:szCs w:val="22"/>
        </w:rPr>
      </w:pPr>
    </w:p>
    <w:p w14:paraId="7C0CE609" w14:textId="00DE99CC" w:rsidR="00BF082A" w:rsidRPr="00BF082A" w:rsidRDefault="00000000" w:rsidP="00186B32">
      <w:pPr>
        <w:spacing w:after="0" w:line="259" w:lineRule="auto"/>
        <w:ind w:right="57" w:firstLine="0"/>
        <w:rPr>
          <w:sz w:val="24"/>
        </w:rPr>
      </w:pPr>
      <w:r w:rsidRPr="00841B34">
        <w:rPr>
          <w:sz w:val="22"/>
          <w:szCs w:val="22"/>
        </w:rPr>
        <w:t xml:space="preserve"> </w:t>
      </w:r>
      <w:r w:rsidRPr="00F955D4">
        <w:rPr>
          <w:sz w:val="24"/>
        </w:rPr>
        <w:t>3.</w:t>
      </w:r>
      <w:r w:rsidR="00FF55E9">
        <w:rPr>
          <w:sz w:val="24"/>
        </w:rPr>
        <w:t>2</w:t>
      </w:r>
      <w:r w:rsidRPr="00F955D4">
        <w:rPr>
          <w:sz w:val="24"/>
        </w:rPr>
        <w:t>.1</w:t>
      </w:r>
      <w:r w:rsidR="00F955D4" w:rsidRPr="00F955D4">
        <w:rPr>
          <w:sz w:val="24"/>
        </w:rPr>
        <w:t>.</w:t>
      </w:r>
      <w:r w:rsidR="00BF082A" w:rsidRPr="00BF082A">
        <w:rPr>
          <w:sz w:val="24"/>
        </w:rPr>
        <w:t xml:space="preserve"> Подтвердить наличие у потенциального Поставщика услуг в своем составе или на договорной основе аккредитованную лабораторию по лабораторно-инструментальным замерам и исследованиям факторов производственной среды и условий труда, имеющее положительное санитарно-эпидемиологическое заключение от уполномоченного органа в сфере санитарно-эпидемиологического благополучия населения.</w:t>
      </w:r>
    </w:p>
    <w:p w14:paraId="15E1E693" w14:textId="695DD422" w:rsidR="00BF082A" w:rsidRPr="00BF082A" w:rsidRDefault="00BF082A" w:rsidP="00BF082A">
      <w:pPr>
        <w:spacing w:after="0"/>
        <w:ind w:right="57" w:firstLine="0"/>
        <w:rPr>
          <w:sz w:val="24"/>
        </w:rPr>
      </w:pPr>
      <w:r>
        <w:rPr>
          <w:sz w:val="24"/>
        </w:rPr>
        <w:t>1)</w:t>
      </w:r>
      <w:r w:rsidRPr="00BF082A">
        <w:rPr>
          <w:sz w:val="24"/>
        </w:rPr>
        <w:t xml:space="preserve"> Предоставить нотариально заверенную копию Аттестата аккредитации.</w:t>
      </w:r>
    </w:p>
    <w:p w14:paraId="06B3B6DF" w14:textId="065C0A1C" w:rsidR="000E0D34" w:rsidRPr="001E487A" w:rsidRDefault="00BF082A" w:rsidP="00BF082A">
      <w:pPr>
        <w:spacing w:after="0"/>
        <w:ind w:right="57" w:firstLine="0"/>
        <w:rPr>
          <w:sz w:val="24"/>
        </w:rPr>
      </w:pPr>
      <w:r>
        <w:rPr>
          <w:sz w:val="24"/>
        </w:rPr>
        <w:t xml:space="preserve">2) </w:t>
      </w:r>
      <w:r w:rsidRPr="00BF082A">
        <w:rPr>
          <w:sz w:val="24"/>
        </w:rPr>
        <w:t>В случае отсутствия в своем составе аккредитованной лаборатории по лабораторно-инструментальным замерам и исследованиям факторов производственной среды и условий труда, дополнительно предоставить копию Договора аренды.</w:t>
      </w:r>
    </w:p>
    <w:p w14:paraId="2BABF20F" w14:textId="7DE1DACC" w:rsidR="00803A8B" w:rsidRPr="00F955D4" w:rsidRDefault="00803A8B" w:rsidP="00594811">
      <w:pPr>
        <w:spacing w:after="0" w:line="259" w:lineRule="auto"/>
        <w:ind w:right="57" w:firstLine="0"/>
        <w:rPr>
          <w:sz w:val="24"/>
          <w:highlight w:val="green"/>
        </w:rPr>
      </w:pPr>
    </w:p>
    <w:p w14:paraId="0200D10E" w14:textId="13B4B415" w:rsidR="00803A8B" w:rsidRPr="00841B34" w:rsidRDefault="00000000" w:rsidP="00594811">
      <w:pPr>
        <w:spacing w:after="0"/>
        <w:ind w:right="57" w:firstLine="0"/>
        <w:jc w:val="center"/>
        <w:rPr>
          <w:sz w:val="22"/>
          <w:szCs w:val="22"/>
        </w:rPr>
      </w:pPr>
      <w:r w:rsidRPr="00841B34">
        <w:rPr>
          <w:b/>
          <w:sz w:val="22"/>
          <w:szCs w:val="22"/>
        </w:rPr>
        <w:t>3.</w:t>
      </w:r>
      <w:r w:rsidR="00186B32">
        <w:rPr>
          <w:b/>
          <w:sz w:val="22"/>
          <w:szCs w:val="22"/>
        </w:rPr>
        <w:t>3</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B326E3" w14:textId="7749CC6D" w:rsidR="00803A8B" w:rsidRPr="00841B34" w:rsidRDefault="00000000" w:rsidP="00594811">
      <w:pPr>
        <w:spacing w:after="0"/>
        <w:ind w:right="57" w:firstLine="0"/>
        <w:rPr>
          <w:sz w:val="22"/>
          <w:szCs w:val="22"/>
        </w:rPr>
      </w:pPr>
      <w:r w:rsidRPr="00841B34">
        <w:rPr>
          <w:sz w:val="22"/>
          <w:szCs w:val="22"/>
        </w:rPr>
        <w:t>3.</w:t>
      </w:r>
      <w:r w:rsidR="00186B32">
        <w:rPr>
          <w:sz w:val="22"/>
          <w:szCs w:val="22"/>
        </w:rPr>
        <w:t>3</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32180D" w14:textId="27971BE1" w:rsidR="00803A8B" w:rsidRPr="00841B34" w:rsidRDefault="00000000" w:rsidP="00594811">
      <w:pPr>
        <w:pStyle w:val="20"/>
        <w:spacing w:after="0"/>
        <w:ind w:left="0" w:right="57" w:firstLine="0"/>
        <w:rPr>
          <w:sz w:val="22"/>
          <w:szCs w:val="22"/>
        </w:rPr>
      </w:pPr>
      <w:r w:rsidRPr="00841B34">
        <w:rPr>
          <w:sz w:val="22"/>
          <w:szCs w:val="22"/>
        </w:rPr>
        <w:t>3.</w:t>
      </w:r>
      <w:r w:rsidR="00186B32">
        <w:rPr>
          <w:sz w:val="22"/>
          <w:szCs w:val="22"/>
        </w:rPr>
        <w:t>4</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289DBF32" w:rsidR="00803A8B" w:rsidRPr="00841B34" w:rsidRDefault="00000000" w:rsidP="00594811">
      <w:pPr>
        <w:spacing w:after="0"/>
        <w:ind w:right="57" w:firstLine="0"/>
        <w:rPr>
          <w:sz w:val="22"/>
          <w:szCs w:val="22"/>
        </w:rPr>
      </w:pPr>
      <w:r w:rsidRPr="00841B34">
        <w:rPr>
          <w:sz w:val="22"/>
          <w:szCs w:val="22"/>
        </w:rPr>
        <w:t>3.</w:t>
      </w:r>
      <w:r w:rsidR="00186B32">
        <w:rPr>
          <w:sz w:val="22"/>
          <w:szCs w:val="22"/>
        </w:rPr>
        <w:t>4</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51142A66" w:rsidR="00E03BAA" w:rsidRPr="00841B34" w:rsidRDefault="00E03BAA" w:rsidP="00594811">
      <w:pPr>
        <w:spacing w:after="0" w:line="259" w:lineRule="auto"/>
        <w:ind w:right="57" w:firstLine="0"/>
        <w:jc w:val="center"/>
        <w:rPr>
          <w:b/>
          <w:sz w:val="22"/>
          <w:szCs w:val="22"/>
        </w:rPr>
      </w:pPr>
      <w:r w:rsidRPr="00841B34">
        <w:rPr>
          <w:b/>
          <w:sz w:val="22"/>
          <w:szCs w:val="22"/>
        </w:rPr>
        <w:t>3.</w:t>
      </w:r>
      <w:r w:rsidR="00186B32">
        <w:rPr>
          <w:b/>
          <w:sz w:val="22"/>
          <w:szCs w:val="22"/>
        </w:rPr>
        <w:t>5</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0208855A" w:rsidR="00841B34" w:rsidRDefault="00E03BAA" w:rsidP="00594811">
      <w:pPr>
        <w:spacing w:after="0" w:line="259" w:lineRule="auto"/>
        <w:ind w:right="57" w:firstLine="0"/>
        <w:rPr>
          <w:bCs/>
          <w:sz w:val="22"/>
          <w:szCs w:val="22"/>
        </w:rPr>
      </w:pPr>
      <w:r w:rsidRPr="00841B34">
        <w:rPr>
          <w:bCs/>
          <w:sz w:val="22"/>
          <w:szCs w:val="22"/>
        </w:rPr>
        <w:t>3.</w:t>
      </w:r>
      <w:r w:rsidR="00186B32">
        <w:rPr>
          <w:bCs/>
          <w:sz w:val="22"/>
          <w:szCs w:val="22"/>
        </w:rPr>
        <w:t>5</w:t>
      </w:r>
      <w:r w:rsidRPr="00841B34">
        <w:rPr>
          <w:bCs/>
          <w:sz w:val="22"/>
          <w:szCs w:val="22"/>
        </w:rPr>
        <w:t>.</w:t>
      </w:r>
      <w:r w:rsidR="00FF55E9">
        <w:rPr>
          <w:bCs/>
          <w:sz w:val="22"/>
          <w:szCs w:val="22"/>
        </w:rPr>
        <w:t>1.</w:t>
      </w:r>
      <w:r w:rsidRPr="00841B34">
        <w:rPr>
          <w:bCs/>
          <w:sz w:val="22"/>
          <w:szCs w:val="22"/>
        </w:rPr>
        <w:t xml:space="preserve">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lastRenderedPageBreak/>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lastRenderedPageBreak/>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lastRenderedPageBreak/>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lastRenderedPageBreak/>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lastRenderedPageBreak/>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lastRenderedPageBreak/>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022659">
      <w:headerReference w:type="even" r:id="rId11"/>
      <w:footerReference w:type="even" r:id="rId12"/>
      <w:headerReference w:type="first" r:id="rId13"/>
      <w:footerReference w:type="first" r:id="rId14"/>
      <w:pgSz w:w="16840" w:h="11900" w:orient="landscape"/>
      <w:pgMar w:top="426" w:right="580" w:bottom="568"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DE5B" w14:textId="77777777" w:rsidR="009E1EF7" w:rsidRDefault="009E1EF7">
      <w:pPr>
        <w:spacing w:after="0" w:line="240" w:lineRule="auto"/>
      </w:pPr>
      <w:r>
        <w:separator/>
      </w:r>
    </w:p>
  </w:endnote>
  <w:endnote w:type="continuationSeparator" w:id="0">
    <w:p w14:paraId="5F8505BD" w14:textId="77777777" w:rsidR="009E1EF7" w:rsidRDefault="009E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D426" w14:textId="77777777" w:rsidR="009E1EF7" w:rsidRDefault="009E1EF7">
      <w:pPr>
        <w:spacing w:after="0" w:line="240" w:lineRule="auto"/>
      </w:pPr>
      <w:r>
        <w:separator/>
      </w:r>
    </w:p>
  </w:footnote>
  <w:footnote w:type="continuationSeparator" w:id="0">
    <w:p w14:paraId="41B98B07" w14:textId="77777777" w:rsidR="009E1EF7" w:rsidRDefault="009E1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824640561"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127298190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22659"/>
    <w:rsid w:val="0003714D"/>
    <w:rsid w:val="0004117C"/>
    <w:rsid w:val="000531AA"/>
    <w:rsid w:val="00056506"/>
    <w:rsid w:val="000817BA"/>
    <w:rsid w:val="000831B9"/>
    <w:rsid w:val="000B4773"/>
    <w:rsid w:val="000C554C"/>
    <w:rsid w:val="000E0D34"/>
    <w:rsid w:val="000E10FB"/>
    <w:rsid w:val="000E5292"/>
    <w:rsid w:val="000E7BCB"/>
    <w:rsid w:val="00112AFE"/>
    <w:rsid w:val="0013542A"/>
    <w:rsid w:val="001675A0"/>
    <w:rsid w:val="00186B32"/>
    <w:rsid w:val="00191EF2"/>
    <w:rsid w:val="0019385B"/>
    <w:rsid w:val="00193A4F"/>
    <w:rsid w:val="001A0505"/>
    <w:rsid w:val="001E487A"/>
    <w:rsid w:val="001F10FE"/>
    <w:rsid w:val="001F753B"/>
    <w:rsid w:val="002252AE"/>
    <w:rsid w:val="002372AE"/>
    <w:rsid w:val="002D404F"/>
    <w:rsid w:val="002F43CC"/>
    <w:rsid w:val="00312853"/>
    <w:rsid w:val="00330446"/>
    <w:rsid w:val="00347A68"/>
    <w:rsid w:val="003B22A0"/>
    <w:rsid w:val="003C7257"/>
    <w:rsid w:val="003D2656"/>
    <w:rsid w:val="00423A30"/>
    <w:rsid w:val="00437A92"/>
    <w:rsid w:val="00492765"/>
    <w:rsid w:val="00494231"/>
    <w:rsid w:val="004C400F"/>
    <w:rsid w:val="004C5585"/>
    <w:rsid w:val="004C590F"/>
    <w:rsid w:val="00510C37"/>
    <w:rsid w:val="005152EF"/>
    <w:rsid w:val="00530ABB"/>
    <w:rsid w:val="00556C15"/>
    <w:rsid w:val="00594811"/>
    <w:rsid w:val="005A7624"/>
    <w:rsid w:val="005B2FF9"/>
    <w:rsid w:val="006517FE"/>
    <w:rsid w:val="00666443"/>
    <w:rsid w:val="006925A7"/>
    <w:rsid w:val="006B2071"/>
    <w:rsid w:val="006F6EDF"/>
    <w:rsid w:val="00725F06"/>
    <w:rsid w:val="0076523D"/>
    <w:rsid w:val="00791DA6"/>
    <w:rsid w:val="007B64ED"/>
    <w:rsid w:val="007C3DA3"/>
    <w:rsid w:val="007D01BA"/>
    <w:rsid w:val="00802661"/>
    <w:rsid w:val="00803A8B"/>
    <w:rsid w:val="00835FD8"/>
    <w:rsid w:val="00841B34"/>
    <w:rsid w:val="00863540"/>
    <w:rsid w:val="00882322"/>
    <w:rsid w:val="008B616A"/>
    <w:rsid w:val="009827B8"/>
    <w:rsid w:val="009916D5"/>
    <w:rsid w:val="009B536E"/>
    <w:rsid w:val="009D2F7A"/>
    <w:rsid w:val="009D43F6"/>
    <w:rsid w:val="009E1EF7"/>
    <w:rsid w:val="009F69A4"/>
    <w:rsid w:val="00A07305"/>
    <w:rsid w:val="00A42781"/>
    <w:rsid w:val="00A43B9B"/>
    <w:rsid w:val="00A44CE7"/>
    <w:rsid w:val="00A64DDA"/>
    <w:rsid w:val="00A66187"/>
    <w:rsid w:val="00A81BF7"/>
    <w:rsid w:val="00AD4019"/>
    <w:rsid w:val="00AF0EFC"/>
    <w:rsid w:val="00B54AED"/>
    <w:rsid w:val="00B76626"/>
    <w:rsid w:val="00BB00A3"/>
    <w:rsid w:val="00BD6D75"/>
    <w:rsid w:val="00BF033A"/>
    <w:rsid w:val="00BF082A"/>
    <w:rsid w:val="00C10173"/>
    <w:rsid w:val="00C82FDB"/>
    <w:rsid w:val="00C9521A"/>
    <w:rsid w:val="00CC57FD"/>
    <w:rsid w:val="00D12743"/>
    <w:rsid w:val="00D441C4"/>
    <w:rsid w:val="00D520FA"/>
    <w:rsid w:val="00D8707C"/>
    <w:rsid w:val="00DB684A"/>
    <w:rsid w:val="00E03BAA"/>
    <w:rsid w:val="00E20420"/>
    <w:rsid w:val="00E4183D"/>
    <w:rsid w:val="00E656DE"/>
    <w:rsid w:val="00E65FC4"/>
    <w:rsid w:val="00E9053C"/>
    <w:rsid w:val="00EC7EEC"/>
    <w:rsid w:val="00F24E58"/>
    <w:rsid w:val="00F31F8C"/>
    <w:rsid w:val="00F474CE"/>
    <w:rsid w:val="00F7012E"/>
    <w:rsid w:val="00F83819"/>
    <w:rsid w:val="00F955D4"/>
    <w:rsid w:val="00FD0FF2"/>
    <w:rsid w:val="00FF5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savitskaya@uo.kmg.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957</TotalTime>
  <Pages>9</Pages>
  <Words>4119</Words>
  <Characters>23481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13</cp:revision>
  <dcterms:created xsi:type="dcterms:W3CDTF">2025-11-14T12:49:00Z</dcterms:created>
  <dcterms:modified xsi:type="dcterms:W3CDTF">2025-12-02T10:28:00Z</dcterms:modified>
</cp:coreProperties>
</file>