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066F2A6"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1C3E21">
        <w:rPr>
          <w:b/>
          <w:bCs/>
          <w:sz w:val="22"/>
          <w:szCs w:val="22"/>
        </w:rPr>
        <w:t>29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2B33E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2B33E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2B33E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2B33E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2B33E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2B33E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2B33E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2B33E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2B33E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204"/>
        <w:gridCol w:w="2208"/>
        <w:gridCol w:w="1558"/>
        <w:gridCol w:w="1487"/>
        <w:gridCol w:w="1400"/>
        <w:gridCol w:w="1873"/>
      </w:tblGrid>
      <w:tr w:rsidR="000E10FB" w:rsidRPr="00841B34" w14:paraId="48954C0C" w14:textId="3A9AD78E" w:rsidTr="00B114F5">
        <w:trPr>
          <w:trHeight w:val="632"/>
          <w:jc w:val="center"/>
        </w:trPr>
        <w:tc>
          <w:tcPr>
            <w:tcW w:w="620" w:type="pct"/>
            <w:vAlign w:val="center"/>
          </w:tcPr>
          <w:p w14:paraId="3BDFB73A" w14:textId="77777777" w:rsidR="000E10FB" w:rsidRPr="00841B34" w:rsidRDefault="000E10FB" w:rsidP="00B114F5">
            <w:pPr>
              <w:spacing w:after="0" w:line="259" w:lineRule="auto"/>
              <w:ind w:right="57" w:firstLine="0"/>
              <w:jc w:val="center"/>
              <w:rPr>
                <w:b/>
                <w:sz w:val="22"/>
                <w:szCs w:val="22"/>
              </w:rPr>
            </w:pPr>
          </w:p>
          <w:p w14:paraId="4C0FD0A3" w14:textId="685C313D" w:rsidR="000E10FB" w:rsidRPr="00841B34" w:rsidRDefault="000E10FB" w:rsidP="00B114F5">
            <w:pPr>
              <w:spacing w:after="0"/>
              <w:ind w:right="57" w:firstLine="0"/>
              <w:jc w:val="center"/>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0E10FB" w:rsidRPr="00841B34" w:rsidRDefault="000E10FB" w:rsidP="00B114F5">
            <w:pPr>
              <w:spacing w:after="0" w:line="259" w:lineRule="auto"/>
              <w:ind w:right="57" w:firstLine="0"/>
              <w:jc w:val="center"/>
              <w:rPr>
                <w:b/>
                <w:bCs/>
                <w:sz w:val="22"/>
                <w:szCs w:val="22"/>
              </w:rPr>
            </w:pPr>
            <w:r w:rsidRPr="00841B34">
              <w:rPr>
                <w:b/>
                <w:bCs/>
                <w:sz w:val="22"/>
                <w:szCs w:val="22"/>
              </w:rPr>
              <w:t>Код предмета закупки</w:t>
            </w:r>
          </w:p>
        </w:tc>
        <w:tc>
          <w:tcPr>
            <w:tcW w:w="614" w:type="pct"/>
            <w:vAlign w:val="center"/>
          </w:tcPr>
          <w:p w14:paraId="31608A51" w14:textId="324EF752" w:rsidR="000E10FB" w:rsidRPr="00841B34" w:rsidRDefault="000E10FB" w:rsidP="00B114F5">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vAlign w:val="center"/>
          </w:tcPr>
          <w:p w14:paraId="53994492" w14:textId="2BCB582C" w:rsidR="000E10FB" w:rsidRPr="00841B34" w:rsidRDefault="000E10FB" w:rsidP="00B114F5">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706" w:type="pct"/>
            <w:vAlign w:val="center"/>
          </w:tcPr>
          <w:p w14:paraId="5FA72482" w14:textId="50CFEBE3" w:rsidR="000E10FB" w:rsidRPr="00841B34" w:rsidRDefault="000E10FB" w:rsidP="00B114F5">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vAlign w:val="center"/>
          </w:tcPr>
          <w:p w14:paraId="2A307C53" w14:textId="57DCD184" w:rsidR="000E10FB" w:rsidRPr="00841B34" w:rsidRDefault="000E10FB" w:rsidP="00B114F5">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475" w:type="pct"/>
            <w:vAlign w:val="center"/>
          </w:tcPr>
          <w:p w14:paraId="2FD4150B" w14:textId="788440BA" w:rsidR="000E10FB" w:rsidRPr="00841B34" w:rsidRDefault="000E10FB" w:rsidP="00B114F5">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47" w:type="pct"/>
            <w:vAlign w:val="center"/>
          </w:tcPr>
          <w:p w14:paraId="7F42C84B" w14:textId="08A02694" w:rsidR="000E10FB" w:rsidRPr="00841B34" w:rsidRDefault="000E10FB" w:rsidP="00B114F5">
            <w:pPr>
              <w:spacing w:after="0" w:line="259" w:lineRule="auto"/>
              <w:ind w:right="57" w:firstLine="0"/>
              <w:jc w:val="center"/>
              <w:rPr>
                <w:b/>
                <w:sz w:val="22"/>
                <w:szCs w:val="22"/>
              </w:rPr>
            </w:pPr>
            <w:r w:rsidRPr="00841B34">
              <w:rPr>
                <w:b/>
                <w:sz w:val="22"/>
                <w:szCs w:val="22"/>
              </w:rPr>
              <w:t>Обеспечение тендерной заявки</w:t>
            </w:r>
          </w:p>
        </w:tc>
        <w:tc>
          <w:tcPr>
            <w:tcW w:w="598" w:type="pct"/>
            <w:vAlign w:val="center"/>
          </w:tcPr>
          <w:p w14:paraId="614C3455" w14:textId="3FD2BFD2" w:rsidR="000E10FB" w:rsidRPr="00841B34" w:rsidRDefault="000E10FB" w:rsidP="00B114F5">
            <w:pPr>
              <w:spacing w:after="0" w:line="259" w:lineRule="auto"/>
              <w:ind w:right="57" w:firstLine="0"/>
              <w:jc w:val="center"/>
              <w:rPr>
                <w:b/>
                <w:sz w:val="22"/>
                <w:szCs w:val="22"/>
              </w:rPr>
            </w:pPr>
            <w:r w:rsidRPr="00841B34">
              <w:rPr>
                <w:b/>
                <w:sz w:val="22"/>
                <w:szCs w:val="22"/>
              </w:rPr>
              <w:t>Прогнозная доля внутристрановой ценности по работам и услугам</w:t>
            </w:r>
          </w:p>
        </w:tc>
      </w:tr>
      <w:tr w:rsidR="000E10FB" w:rsidRPr="00841B34" w14:paraId="66D9C527" w14:textId="4380813D" w:rsidTr="00B114F5">
        <w:trPr>
          <w:trHeight w:val="1715"/>
          <w:jc w:val="center"/>
        </w:trPr>
        <w:tc>
          <w:tcPr>
            <w:tcW w:w="620" w:type="pct"/>
            <w:vAlign w:val="center"/>
          </w:tcPr>
          <w:p w14:paraId="175A0C06" w14:textId="5567B9F4" w:rsidR="000E10FB" w:rsidRPr="00841B34" w:rsidRDefault="000E10FB" w:rsidP="00B114F5">
            <w:pPr>
              <w:spacing w:after="0" w:line="259" w:lineRule="auto"/>
              <w:ind w:right="57" w:firstLine="0"/>
              <w:jc w:val="center"/>
              <w:rPr>
                <w:sz w:val="22"/>
                <w:szCs w:val="22"/>
              </w:rPr>
            </w:pPr>
            <w:r w:rsidRPr="00841B34">
              <w:rPr>
                <w:sz w:val="22"/>
                <w:szCs w:val="22"/>
              </w:rPr>
              <w:t>5224</w:t>
            </w:r>
          </w:p>
        </w:tc>
        <w:tc>
          <w:tcPr>
            <w:tcW w:w="337" w:type="pct"/>
            <w:vAlign w:val="center"/>
          </w:tcPr>
          <w:p w14:paraId="087EB7C3" w14:textId="1423EDC9" w:rsidR="000E10FB" w:rsidRPr="00841B34" w:rsidRDefault="00303C4B" w:rsidP="00B114F5">
            <w:pPr>
              <w:spacing w:after="0" w:line="259" w:lineRule="auto"/>
              <w:ind w:right="57" w:firstLine="0"/>
              <w:jc w:val="center"/>
              <w:rPr>
                <w:sz w:val="22"/>
                <w:szCs w:val="22"/>
              </w:rPr>
            </w:pPr>
            <w:r>
              <w:rPr>
                <w:sz w:val="22"/>
                <w:szCs w:val="22"/>
              </w:rPr>
              <w:t>7</w:t>
            </w:r>
            <w:r w:rsidR="00B114F5">
              <w:rPr>
                <w:sz w:val="22"/>
                <w:szCs w:val="22"/>
              </w:rPr>
              <w:t>У</w:t>
            </w:r>
          </w:p>
        </w:tc>
        <w:tc>
          <w:tcPr>
            <w:tcW w:w="614" w:type="pct"/>
            <w:vAlign w:val="center"/>
          </w:tcPr>
          <w:p w14:paraId="005C5B42" w14:textId="48ACFBFE" w:rsidR="000E10FB" w:rsidRPr="00841B34" w:rsidRDefault="00303C4B" w:rsidP="00B114F5">
            <w:pPr>
              <w:spacing w:after="0" w:line="259" w:lineRule="auto"/>
              <w:ind w:right="57" w:firstLine="0"/>
              <w:rPr>
                <w:sz w:val="22"/>
                <w:szCs w:val="22"/>
              </w:rPr>
            </w:pPr>
            <w:r w:rsidRPr="00303C4B">
              <w:rPr>
                <w:sz w:val="22"/>
                <w:szCs w:val="22"/>
              </w:rPr>
              <w:t>712019.000.000011</w:t>
            </w:r>
          </w:p>
        </w:tc>
        <w:tc>
          <w:tcPr>
            <w:tcW w:w="705" w:type="pct"/>
            <w:vAlign w:val="center"/>
          </w:tcPr>
          <w:p w14:paraId="27486483" w14:textId="62D9D06C" w:rsidR="000E10FB" w:rsidRPr="00841B34" w:rsidRDefault="00303C4B" w:rsidP="00B114F5">
            <w:pPr>
              <w:spacing w:after="0" w:line="259" w:lineRule="auto"/>
              <w:ind w:right="57" w:firstLine="0"/>
              <w:jc w:val="center"/>
              <w:rPr>
                <w:sz w:val="22"/>
                <w:szCs w:val="22"/>
              </w:rPr>
            </w:pPr>
            <w:r w:rsidRPr="00303C4B">
              <w:rPr>
                <w:sz w:val="22"/>
                <w:szCs w:val="22"/>
              </w:rPr>
              <w:t>Услуги геофизических исследований</w:t>
            </w:r>
          </w:p>
        </w:tc>
        <w:tc>
          <w:tcPr>
            <w:tcW w:w="706" w:type="pct"/>
            <w:vAlign w:val="center"/>
          </w:tcPr>
          <w:p w14:paraId="722594EB" w14:textId="52D7C3C3" w:rsidR="000E10FB" w:rsidRPr="00841B34" w:rsidRDefault="00303C4B" w:rsidP="00B114F5">
            <w:pPr>
              <w:spacing w:after="0" w:line="259" w:lineRule="auto"/>
              <w:ind w:right="57" w:firstLine="0"/>
              <w:jc w:val="center"/>
              <w:rPr>
                <w:sz w:val="22"/>
                <w:szCs w:val="22"/>
              </w:rPr>
            </w:pPr>
            <w:r w:rsidRPr="00303C4B">
              <w:rPr>
                <w:sz w:val="22"/>
                <w:szCs w:val="22"/>
              </w:rPr>
              <w:t>Промыслово-геофизические исследования скважин м/р Восточный Урихтау</w:t>
            </w:r>
          </w:p>
        </w:tc>
        <w:tc>
          <w:tcPr>
            <w:tcW w:w="498" w:type="pct"/>
            <w:vAlign w:val="center"/>
          </w:tcPr>
          <w:p w14:paraId="26CEE014" w14:textId="4BAA2F5F" w:rsidR="000E10FB" w:rsidRPr="00841B34" w:rsidRDefault="00B114F5" w:rsidP="00B114F5">
            <w:pPr>
              <w:spacing w:after="0" w:line="259" w:lineRule="auto"/>
              <w:ind w:right="57" w:firstLine="0"/>
              <w:jc w:val="center"/>
              <w:rPr>
                <w:sz w:val="22"/>
                <w:szCs w:val="22"/>
              </w:rPr>
            </w:pPr>
            <w:r>
              <w:rPr>
                <w:sz w:val="22"/>
                <w:szCs w:val="22"/>
              </w:rPr>
              <w:t>1</w:t>
            </w:r>
          </w:p>
        </w:tc>
        <w:tc>
          <w:tcPr>
            <w:tcW w:w="475" w:type="pct"/>
            <w:vAlign w:val="center"/>
          </w:tcPr>
          <w:p w14:paraId="1AF6B397" w14:textId="6BE2D351" w:rsidR="000E10FB" w:rsidRPr="00841B34" w:rsidRDefault="00303C4B" w:rsidP="00B114F5">
            <w:pPr>
              <w:spacing w:after="0" w:line="259" w:lineRule="auto"/>
              <w:ind w:right="57" w:firstLine="0"/>
              <w:jc w:val="center"/>
              <w:rPr>
                <w:sz w:val="22"/>
                <w:szCs w:val="22"/>
              </w:rPr>
            </w:pPr>
            <w:r w:rsidRPr="00303C4B">
              <w:rPr>
                <w:sz w:val="22"/>
                <w:szCs w:val="22"/>
              </w:rPr>
              <w:t>15 025</w:t>
            </w:r>
            <w:r>
              <w:rPr>
                <w:sz w:val="22"/>
                <w:szCs w:val="22"/>
              </w:rPr>
              <w:t> </w:t>
            </w:r>
            <w:r w:rsidRPr="00303C4B">
              <w:rPr>
                <w:sz w:val="22"/>
                <w:szCs w:val="22"/>
              </w:rPr>
              <w:t>500</w:t>
            </w:r>
            <w:r>
              <w:rPr>
                <w:sz w:val="22"/>
                <w:szCs w:val="22"/>
              </w:rPr>
              <w:t>,00</w:t>
            </w:r>
          </w:p>
        </w:tc>
        <w:tc>
          <w:tcPr>
            <w:tcW w:w="447" w:type="pct"/>
            <w:vAlign w:val="center"/>
          </w:tcPr>
          <w:p w14:paraId="7AEF1718" w14:textId="3C63C469" w:rsidR="000E10FB" w:rsidRPr="00841B34" w:rsidRDefault="000E10FB" w:rsidP="00B114F5">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98" w:type="pct"/>
            <w:vAlign w:val="center"/>
          </w:tcPr>
          <w:p w14:paraId="33EACB44" w14:textId="692C884D" w:rsidR="000E10FB" w:rsidRPr="00AA5BA8" w:rsidRDefault="00AA5BA8" w:rsidP="00B114F5">
            <w:pPr>
              <w:spacing w:after="0" w:line="259" w:lineRule="auto"/>
              <w:ind w:right="57" w:firstLine="0"/>
              <w:jc w:val="center"/>
              <w:rPr>
                <w:sz w:val="22"/>
                <w:szCs w:val="22"/>
              </w:rPr>
            </w:pPr>
            <w:r>
              <w:rPr>
                <w:sz w:val="22"/>
                <w:szCs w:val="22"/>
                <w:lang w:val="kk-KZ"/>
              </w:rPr>
              <w:t>95</w:t>
            </w:r>
            <w:r>
              <w:rPr>
                <w:sz w:val="22"/>
                <w:szCs w:val="22"/>
              </w:rPr>
              <w:t>%</w:t>
            </w:r>
          </w:p>
        </w:tc>
      </w:tr>
    </w:tbl>
    <w:p w14:paraId="4B6D565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C961408" w14:textId="4469915A" w:rsidR="00803A8B" w:rsidRDefault="002B33E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2B33E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2B33E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2B33E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2B33E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2B33E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2B33E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2B33E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0711324" w14:textId="4F12CEA0" w:rsidR="00803A8B" w:rsidRPr="00841B34" w:rsidRDefault="00C82FDB" w:rsidP="00C01A53">
      <w:pPr>
        <w:spacing w:after="0"/>
        <w:ind w:right="57" w:firstLine="0"/>
        <w:jc w:val="center"/>
        <w:rPr>
          <w:sz w:val="22"/>
          <w:szCs w:val="22"/>
        </w:rPr>
      </w:pPr>
      <w:r w:rsidRPr="00841B34">
        <w:rPr>
          <w:b/>
          <w:sz w:val="22"/>
          <w:szCs w:val="22"/>
        </w:rPr>
        <w:t xml:space="preserve">3.1. </w:t>
      </w:r>
      <w:r w:rsidR="002B33E1" w:rsidRPr="00841B34">
        <w:rPr>
          <w:b/>
          <w:sz w:val="22"/>
          <w:szCs w:val="22"/>
        </w:rPr>
        <w:t xml:space="preserve">Требования о наличии у потенциального поставщика оборудования, техники (технических устройств), зданий (сооружений), </w:t>
      </w:r>
      <w:proofErr w:type="gramStart"/>
      <w:r w:rsidR="002B33E1" w:rsidRPr="00841B34">
        <w:rPr>
          <w:b/>
          <w:sz w:val="22"/>
          <w:szCs w:val="22"/>
        </w:rPr>
        <w:t>помещений  с</w:t>
      </w:r>
      <w:proofErr w:type="gramEnd"/>
      <w:r w:rsidR="002B33E1" w:rsidRPr="00841B34">
        <w:rPr>
          <w:b/>
          <w:sz w:val="22"/>
          <w:szCs w:val="22"/>
        </w:rPr>
        <w:t xml:space="preserve"> предоставлением </w:t>
      </w:r>
      <w:r w:rsidR="002B33E1" w:rsidRPr="00C01A53">
        <w:rPr>
          <w:b/>
          <w:sz w:val="22"/>
          <w:szCs w:val="22"/>
        </w:rPr>
        <w:t>подтверждающих</w:t>
      </w:r>
      <w:r w:rsidR="00C01A53" w:rsidRPr="00C01A53">
        <w:rPr>
          <w:b/>
          <w:sz w:val="22"/>
          <w:szCs w:val="22"/>
        </w:rPr>
        <w:t xml:space="preserve"> </w:t>
      </w:r>
      <w:r w:rsidR="002B33E1" w:rsidRPr="00C01A53">
        <w:rPr>
          <w:b/>
          <w:sz w:val="22"/>
          <w:szCs w:val="22"/>
        </w:rPr>
        <w:t>документов</w:t>
      </w:r>
    </w:p>
    <w:p w14:paraId="32A62A27" w14:textId="7A48F9CB" w:rsidR="00803A8B" w:rsidRDefault="002B33E1" w:rsidP="00C01A53">
      <w:pPr>
        <w:spacing w:after="0" w:line="259" w:lineRule="auto"/>
        <w:ind w:right="57" w:firstLine="0"/>
        <w:rPr>
          <w:sz w:val="22"/>
          <w:szCs w:val="22"/>
        </w:rPr>
      </w:pPr>
      <w:r w:rsidRPr="00841B34">
        <w:rPr>
          <w:sz w:val="22"/>
          <w:szCs w:val="22"/>
        </w:rPr>
        <w:t xml:space="preserve"> 3.</w:t>
      </w:r>
      <w:r w:rsidR="00C01A53">
        <w:rPr>
          <w:sz w:val="22"/>
          <w:szCs w:val="22"/>
        </w:rPr>
        <w:t>1</w:t>
      </w:r>
      <w:r w:rsidRPr="00841B34">
        <w:rPr>
          <w:sz w:val="22"/>
          <w:szCs w:val="22"/>
        </w:rPr>
        <w:t xml:space="preserve">.1 </w:t>
      </w:r>
      <w:r w:rsidR="00B21216" w:rsidRPr="00B21216">
        <w:rPr>
          <w:sz w:val="22"/>
          <w:szCs w:val="22"/>
        </w:rPr>
        <w:t>При оказании услуг должна применяться передвижная каротажная станция-подъёмник с гидравлическим или электрическим приводом лебёдки. Используемая станция должна находиться в исправном техническом состоянии, соответствовать требованиям охраны труда и технике безопасности, а также иметь действующее положительное заключение экспертизы промышленной безопасности.</w:t>
      </w:r>
    </w:p>
    <w:p w14:paraId="15F4C4B0" w14:textId="5F9A2C70" w:rsidR="00B21216" w:rsidRPr="00841B34" w:rsidRDefault="00B21216" w:rsidP="00C01A53">
      <w:pPr>
        <w:spacing w:after="0" w:line="259" w:lineRule="auto"/>
        <w:ind w:right="57" w:firstLine="0"/>
        <w:rPr>
          <w:sz w:val="22"/>
          <w:szCs w:val="22"/>
        </w:rPr>
      </w:pPr>
      <w:r w:rsidRPr="00B21216">
        <w:rPr>
          <w:sz w:val="22"/>
          <w:szCs w:val="22"/>
        </w:rPr>
        <w:t>Автокран – для проведения геофизических работ (для удержания компоновки лубрикаторов в рабочем состоянии). Автокран должен быть в хорошем рабочем техническом состоянии, соответствовать всем требованиям техники безопасности, иметь разрешительные документы контролирующих органов. Длина вылета стрелы должна соответствовать длине лубрикаторов в компоновке максимальной длины;</w:t>
      </w:r>
    </w:p>
    <w:p w14:paraId="7BD052AE" w14:textId="7F84F1A8" w:rsidR="00803A8B" w:rsidRPr="00841B34" w:rsidRDefault="002B33E1" w:rsidP="00594811">
      <w:pPr>
        <w:spacing w:after="0" w:line="259" w:lineRule="auto"/>
        <w:ind w:right="57" w:firstLine="0"/>
        <w:rPr>
          <w:sz w:val="22"/>
          <w:szCs w:val="22"/>
        </w:rPr>
      </w:pPr>
      <w:r w:rsidRPr="00841B34">
        <w:rPr>
          <w:sz w:val="22"/>
          <w:szCs w:val="22"/>
          <w:highlight w:val="green"/>
        </w:rPr>
        <w:t xml:space="preserve"> </w:t>
      </w:r>
    </w:p>
    <w:p w14:paraId="0200D10E" w14:textId="364F68C9" w:rsidR="00803A8B" w:rsidRPr="00841B34" w:rsidRDefault="002B33E1" w:rsidP="00C01A53">
      <w:pPr>
        <w:spacing w:after="0"/>
        <w:ind w:right="57" w:firstLine="708"/>
        <w:rPr>
          <w:sz w:val="22"/>
          <w:szCs w:val="22"/>
        </w:rPr>
      </w:pPr>
      <w:r w:rsidRPr="00841B34">
        <w:rPr>
          <w:b/>
          <w:sz w:val="22"/>
          <w:szCs w:val="22"/>
        </w:rPr>
        <w:lastRenderedPageBreak/>
        <w:t>3.</w:t>
      </w:r>
      <w:r w:rsidR="00C01A53">
        <w:rPr>
          <w:b/>
          <w:sz w:val="22"/>
          <w:szCs w:val="22"/>
        </w:rPr>
        <w:t>2</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CB326E3" w14:textId="37CB9D4F" w:rsidR="00803A8B" w:rsidRPr="00841B34" w:rsidRDefault="002B33E1" w:rsidP="00594811">
      <w:pPr>
        <w:spacing w:after="0"/>
        <w:ind w:right="57" w:firstLine="0"/>
        <w:rPr>
          <w:sz w:val="22"/>
          <w:szCs w:val="22"/>
        </w:rPr>
      </w:pPr>
      <w:r w:rsidRPr="00841B34">
        <w:rPr>
          <w:sz w:val="22"/>
          <w:szCs w:val="22"/>
        </w:rPr>
        <w:t>3.</w:t>
      </w:r>
      <w:r w:rsidR="00C01A53">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2C1E0ED" w14:textId="60C1A328" w:rsidR="00803A8B" w:rsidRPr="00841B34" w:rsidRDefault="002B33E1" w:rsidP="00594811">
      <w:pPr>
        <w:spacing w:after="0"/>
        <w:ind w:right="57" w:firstLine="0"/>
        <w:jc w:val="center"/>
        <w:rPr>
          <w:sz w:val="22"/>
          <w:szCs w:val="22"/>
        </w:rPr>
      </w:pPr>
      <w:r w:rsidRPr="00841B34">
        <w:rPr>
          <w:b/>
          <w:sz w:val="22"/>
          <w:szCs w:val="22"/>
        </w:rPr>
        <w:t>3.</w:t>
      </w:r>
      <w:r w:rsidR="00C01A53">
        <w:rPr>
          <w:b/>
          <w:sz w:val="22"/>
          <w:szCs w:val="22"/>
        </w:rPr>
        <w:t>3</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7A5C9672" w:rsidR="00803A8B" w:rsidRPr="00841B34" w:rsidRDefault="002B33E1" w:rsidP="00C01A53">
      <w:pPr>
        <w:spacing w:after="0" w:line="259" w:lineRule="auto"/>
        <w:ind w:right="57" w:firstLine="0"/>
        <w:rPr>
          <w:sz w:val="22"/>
          <w:szCs w:val="22"/>
        </w:rPr>
      </w:pPr>
      <w:r w:rsidRPr="00841B34">
        <w:rPr>
          <w:sz w:val="22"/>
          <w:szCs w:val="22"/>
        </w:rPr>
        <w:t xml:space="preserve"> 3.</w:t>
      </w:r>
      <w:r w:rsidR="00C01A53">
        <w:rPr>
          <w:sz w:val="22"/>
          <w:szCs w:val="22"/>
        </w:rPr>
        <w:t>3</w:t>
      </w:r>
      <w:r w:rsidRPr="00841B34">
        <w:rPr>
          <w:sz w:val="22"/>
          <w:szCs w:val="22"/>
        </w:rPr>
        <w:t xml:space="preserve">.1 </w:t>
      </w:r>
      <w:r w:rsidR="00B114F5" w:rsidRPr="00B114F5">
        <w:rPr>
          <w:sz w:val="22"/>
          <w:szCs w:val="22"/>
        </w:rPr>
        <w:t>Потенциальный поставщик должен предоставить электронную копию аттестата аккредитации на соответствие с требованиями ГОСТ 17025–2019.</w:t>
      </w:r>
    </w:p>
    <w:p w14:paraId="05E836C1"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4632180D" w14:textId="2BC6EF05" w:rsidR="00803A8B" w:rsidRPr="00841B34" w:rsidRDefault="002B33E1" w:rsidP="00594811">
      <w:pPr>
        <w:pStyle w:val="20"/>
        <w:spacing w:after="0"/>
        <w:ind w:left="0" w:right="57" w:firstLine="0"/>
        <w:rPr>
          <w:sz w:val="22"/>
          <w:szCs w:val="22"/>
        </w:rPr>
      </w:pPr>
      <w:r w:rsidRPr="00841B34">
        <w:rPr>
          <w:sz w:val="22"/>
          <w:szCs w:val="22"/>
        </w:rPr>
        <w:t>3.</w:t>
      </w:r>
      <w:r w:rsidR="00C01A53">
        <w:rPr>
          <w:sz w:val="22"/>
          <w:szCs w:val="22"/>
        </w:rPr>
        <w:t>4</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3AA3F1F0" w14:textId="4D049916" w:rsidR="00803A8B" w:rsidRPr="00841B34" w:rsidRDefault="002B33E1" w:rsidP="00C01A53">
      <w:pPr>
        <w:spacing w:after="0" w:line="259" w:lineRule="auto"/>
        <w:ind w:right="57" w:firstLine="0"/>
        <w:rPr>
          <w:sz w:val="22"/>
          <w:szCs w:val="22"/>
        </w:rPr>
      </w:pPr>
      <w:r w:rsidRPr="00841B34">
        <w:rPr>
          <w:sz w:val="22"/>
          <w:szCs w:val="22"/>
        </w:rPr>
        <w:t xml:space="preserve"> 3.</w:t>
      </w:r>
      <w:r w:rsidR="00C01A53">
        <w:rPr>
          <w:sz w:val="22"/>
          <w:szCs w:val="22"/>
        </w:rPr>
        <w:t>4</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660F7732" w:rsidR="00E03BAA" w:rsidRPr="00841B34" w:rsidRDefault="00E03BAA" w:rsidP="00C01A53">
      <w:pPr>
        <w:spacing w:after="0" w:line="259" w:lineRule="auto"/>
        <w:ind w:right="57" w:firstLine="0"/>
        <w:rPr>
          <w:b/>
          <w:sz w:val="22"/>
          <w:szCs w:val="22"/>
        </w:rPr>
      </w:pPr>
      <w:r w:rsidRPr="00841B34">
        <w:rPr>
          <w:b/>
          <w:sz w:val="22"/>
          <w:szCs w:val="22"/>
        </w:rPr>
        <w:t>3.</w:t>
      </w:r>
      <w:r w:rsidR="00C01A53">
        <w:rPr>
          <w:b/>
          <w:sz w:val="22"/>
          <w:szCs w:val="22"/>
        </w:rPr>
        <w:t>5</w:t>
      </w:r>
      <w:r w:rsidRPr="00841B34">
        <w:rPr>
          <w:b/>
          <w:sz w:val="22"/>
          <w:szCs w:val="22"/>
        </w:rPr>
        <w:t>. Прогнозная доля внутристрановой ценности</w:t>
      </w:r>
    </w:p>
    <w:p w14:paraId="44D6492D" w14:textId="5A5E4BF2" w:rsidR="00841B34" w:rsidRDefault="00E03BAA" w:rsidP="00594811">
      <w:pPr>
        <w:spacing w:after="0" w:line="259" w:lineRule="auto"/>
        <w:ind w:right="57" w:firstLine="0"/>
        <w:rPr>
          <w:bCs/>
          <w:sz w:val="22"/>
          <w:szCs w:val="22"/>
        </w:rPr>
      </w:pPr>
      <w:r w:rsidRPr="00841B34">
        <w:rPr>
          <w:bCs/>
          <w:sz w:val="22"/>
          <w:szCs w:val="22"/>
        </w:rPr>
        <w:t>3.</w:t>
      </w:r>
      <w:r w:rsidR="00C01A53">
        <w:rPr>
          <w:bCs/>
          <w:sz w:val="22"/>
          <w:szCs w:val="22"/>
        </w:rPr>
        <w:t>5</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2B33E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2B33E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2B33E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2B33E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2B33E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2B33E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2B33E1" w:rsidP="00594811">
      <w:pPr>
        <w:pStyle w:val="1"/>
        <w:spacing w:after="0"/>
        <w:ind w:left="0" w:right="57" w:firstLine="0"/>
        <w:rPr>
          <w:sz w:val="22"/>
          <w:szCs w:val="22"/>
        </w:rPr>
      </w:pPr>
      <w:r w:rsidRPr="00841B34">
        <w:rPr>
          <w:sz w:val="22"/>
          <w:szCs w:val="22"/>
        </w:rPr>
        <w:lastRenderedPageBreak/>
        <w:t>7. Требования к содержанию и валюте ценового предложения</w:t>
      </w:r>
    </w:p>
    <w:p w14:paraId="0CB2438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2B33E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lastRenderedPageBreak/>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2B33E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B114F5">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B114F5">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B114F5">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B114F5">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B114F5">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B114F5">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2B33E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B114F5">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B114F5">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B114F5">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B114F5">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B114F5">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B114F5">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2B33E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B114F5">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B114F5">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9AF3" w14:textId="77777777" w:rsidR="003D2656" w:rsidRDefault="003D2656">
      <w:pPr>
        <w:spacing w:after="0" w:line="240" w:lineRule="auto"/>
      </w:pPr>
      <w:r>
        <w:separator/>
      </w:r>
    </w:p>
  </w:endnote>
  <w:endnote w:type="continuationSeparator" w:id="0">
    <w:p w14:paraId="30FDEB4D" w14:textId="77777777" w:rsidR="003D2656" w:rsidRDefault="003D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2B33E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2B33E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2B33E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2B33E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4F3" w14:textId="77777777" w:rsidR="003D2656" w:rsidRDefault="003D2656">
      <w:pPr>
        <w:spacing w:after="0" w:line="240" w:lineRule="auto"/>
      </w:pPr>
      <w:r>
        <w:separator/>
      </w:r>
    </w:p>
  </w:footnote>
  <w:footnote w:type="continuationSeparator" w:id="0">
    <w:p w14:paraId="512E9D6A" w14:textId="77777777" w:rsidR="003D2656" w:rsidRDefault="003D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2B33E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2B33E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2B33E1">
    <w:pPr>
      <w:spacing w:after="0" w:line="259" w:lineRule="auto"/>
      <w:ind w:right="1127" w:firstLine="0"/>
      <w:jc w:val="right"/>
    </w:pPr>
    <w:r>
      <w:rPr>
        <w:rFonts w:ascii="Arial" w:eastAsia="Arial" w:hAnsi="Arial" w:cs="Arial"/>
        <w:sz w:val="12"/>
      </w:rPr>
      <w:t>1033529</w:t>
    </w:r>
  </w:p>
  <w:p w14:paraId="1E66EA62" w14:textId="77777777" w:rsidR="00803A8B" w:rsidRDefault="002B33E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2B33E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2B33E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2B33E1">
    <w:pPr>
      <w:spacing w:after="0" w:line="259" w:lineRule="auto"/>
      <w:ind w:right="1127" w:firstLine="0"/>
      <w:jc w:val="right"/>
    </w:pPr>
    <w:r>
      <w:rPr>
        <w:rFonts w:ascii="Arial" w:eastAsia="Arial" w:hAnsi="Arial" w:cs="Arial"/>
        <w:sz w:val="12"/>
      </w:rPr>
      <w:t>1033529</w:t>
    </w:r>
  </w:p>
  <w:p w14:paraId="72B819F0" w14:textId="77777777" w:rsidR="00803A8B" w:rsidRDefault="002B33E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695B"/>
    <w:rsid w:val="0013542A"/>
    <w:rsid w:val="00193A4F"/>
    <w:rsid w:val="001A0505"/>
    <w:rsid w:val="001C3E21"/>
    <w:rsid w:val="001F753B"/>
    <w:rsid w:val="002252AE"/>
    <w:rsid w:val="002372AE"/>
    <w:rsid w:val="002B33E1"/>
    <w:rsid w:val="002D404F"/>
    <w:rsid w:val="002F43CC"/>
    <w:rsid w:val="00303C4B"/>
    <w:rsid w:val="00312853"/>
    <w:rsid w:val="00330446"/>
    <w:rsid w:val="00347A68"/>
    <w:rsid w:val="00363945"/>
    <w:rsid w:val="003C7257"/>
    <w:rsid w:val="003D2656"/>
    <w:rsid w:val="00423A30"/>
    <w:rsid w:val="00437A92"/>
    <w:rsid w:val="00492765"/>
    <w:rsid w:val="004C400F"/>
    <w:rsid w:val="004C5585"/>
    <w:rsid w:val="004C590F"/>
    <w:rsid w:val="00510C37"/>
    <w:rsid w:val="005152EF"/>
    <w:rsid w:val="00594811"/>
    <w:rsid w:val="005B2FF9"/>
    <w:rsid w:val="005D3A9D"/>
    <w:rsid w:val="006517FE"/>
    <w:rsid w:val="00666443"/>
    <w:rsid w:val="006925A7"/>
    <w:rsid w:val="006B2071"/>
    <w:rsid w:val="006F6EDF"/>
    <w:rsid w:val="0076523D"/>
    <w:rsid w:val="00791DA6"/>
    <w:rsid w:val="007B64ED"/>
    <w:rsid w:val="007C3DA3"/>
    <w:rsid w:val="00802661"/>
    <w:rsid w:val="00803A8B"/>
    <w:rsid w:val="00835FD8"/>
    <w:rsid w:val="00841B34"/>
    <w:rsid w:val="00882322"/>
    <w:rsid w:val="008B616A"/>
    <w:rsid w:val="008C3C37"/>
    <w:rsid w:val="009916D5"/>
    <w:rsid w:val="009B536E"/>
    <w:rsid w:val="009D2F7A"/>
    <w:rsid w:val="009D43F6"/>
    <w:rsid w:val="009F69A4"/>
    <w:rsid w:val="00A07305"/>
    <w:rsid w:val="00A42781"/>
    <w:rsid w:val="00A43B9B"/>
    <w:rsid w:val="00A44CE7"/>
    <w:rsid w:val="00A64DDA"/>
    <w:rsid w:val="00A66187"/>
    <w:rsid w:val="00A81BF7"/>
    <w:rsid w:val="00AA5BA8"/>
    <w:rsid w:val="00AF0EFC"/>
    <w:rsid w:val="00B114F5"/>
    <w:rsid w:val="00B21216"/>
    <w:rsid w:val="00B54AED"/>
    <w:rsid w:val="00B76626"/>
    <w:rsid w:val="00BD6D75"/>
    <w:rsid w:val="00BF033A"/>
    <w:rsid w:val="00C01A53"/>
    <w:rsid w:val="00C10173"/>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83C3B"/>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1499</TotalTime>
  <Pages>9</Pages>
  <Words>4020</Words>
  <Characters>22917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36</cp:revision>
  <dcterms:created xsi:type="dcterms:W3CDTF">2024-10-07T05:29:00Z</dcterms:created>
  <dcterms:modified xsi:type="dcterms:W3CDTF">2025-12-05T12:49:00Z</dcterms:modified>
</cp:coreProperties>
</file>