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AD8F" w14:textId="68AFF89E" w:rsidR="0091241C" w:rsidRPr="00742BCB" w:rsidRDefault="00F96278" w:rsidP="00F9627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№2                                                                                                                                                                                   к Договору №________                                                                                                                                                         от 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="000A1F9F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_. _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0A1F9F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FE1C7E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623BE4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</w:t>
      </w:r>
    </w:p>
    <w:p w14:paraId="5D50FE3F" w14:textId="77777777" w:rsidR="00F96278" w:rsidRPr="00720762" w:rsidRDefault="00F96278" w:rsidP="00F96278">
      <w:pPr>
        <w:jc w:val="right"/>
        <w:rPr>
          <w:lang w:val="ru-RU"/>
        </w:rPr>
      </w:pPr>
    </w:p>
    <w:p w14:paraId="073692AE" w14:textId="77777777" w:rsidR="00F96278" w:rsidRPr="00720762" w:rsidRDefault="00F96278" w:rsidP="00F9627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</w:t>
      </w:r>
      <w:r w:rsidRPr="00720762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53A5C958" w14:textId="30D5DE2D" w:rsidR="009B53FA" w:rsidRPr="00720762" w:rsidRDefault="007E5F85" w:rsidP="002D6FF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Краткое описание</w:t>
      </w:r>
      <w:r w:rsidR="00F96278" w:rsidRPr="00720762">
        <w:rPr>
          <w:rFonts w:ascii="Times New Roman" w:hAnsi="Times New Roman" w:cs="Times New Roman"/>
          <w:b/>
          <w:bCs/>
          <w:sz w:val="24"/>
          <w:szCs w:val="24"/>
        </w:rPr>
        <w:t xml:space="preserve"> ТРУ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044"/>
      </w:tblGrid>
      <w:tr w:rsidR="009B53FA" w:rsidRPr="00851C65" w14:paraId="014D1B2C" w14:textId="77777777" w:rsidTr="00186B15">
        <w:tc>
          <w:tcPr>
            <w:tcW w:w="3301" w:type="dxa"/>
          </w:tcPr>
          <w:p w14:paraId="1A2A0E49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Наименование и краткая характеристика</w:t>
            </w:r>
          </w:p>
        </w:tc>
        <w:tc>
          <w:tcPr>
            <w:tcW w:w="6044" w:type="dxa"/>
          </w:tcPr>
          <w:p w14:paraId="5A72CDC6" w14:textId="5BBA044D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 по монтажу/</w:t>
            </w:r>
            <w:r w:rsidR="00CA3FDB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демонтажу</w:t>
            </w: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добывающей (сырье/полезные ископаемые/нефтегаз) техники и оборудования</w:t>
            </w:r>
          </w:p>
        </w:tc>
      </w:tr>
      <w:tr w:rsidR="009B53FA" w:rsidRPr="00851C65" w14:paraId="1E11E5CC" w14:textId="77777777" w:rsidTr="00186B15">
        <w:tc>
          <w:tcPr>
            <w:tcW w:w="3301" w:type="dxa"/>
          </w:tcPr>
          <w:p w14:paraId="06180C3A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6044" w:type="dxa"/>
          </w:tcPr>
          <w:p w14:paraId="6399CB1C" w14:textId="4CD2DCE6" w:rsidR="009B53FA" w:rsidRPr="00720762" w:rsidRDefault="004D4D73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Hlk101335694"/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Монтаж</w:t>
            </w:r>
            <w:r w:rsidR="005C32D8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/Демонтаж</w:t>
            </w: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подземного оборудования на скважин</w:t>
            </w:r>
            <w:bookmarkEnd w:id="0"/>
            <w:r w:rsidR="00623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5C32D8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ВУ</w:t>
            </w:r>
            <w:r w:rsidR="00623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</w:t>
            </w:r>
            <w:r w:rsidR="005C32D8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при КРС на скважине Восточный Урихтау</w:t>
            </w:r>
          </w:p>
        </w:tc>
      </w:tr>
      <w:tr w:rsidR="009B53FA" w:rsidRPr="00720762" w14:paraId="5FECC739" w14:textId="77777777" w:rsidTr="00186B15">
        <w:tc>
          <w:tcPr>
            <w:tcW w:w="3301" w:type="dxa"/>
          </w:tcPr>
          <w:p w14:paraId="2FA9778F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4D4D73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23A20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скважин</w:t>
            </w:r>
          </w:p>
        </w:tc>
        <w:tc>
          <w:tcPr>
            <w:tcW w:w="6044" w:type="dxa"/>
          </w:tcPr>
          <w:p w14:paraId="135C887C" w14:textId="23E296A4" w:rsidR="009B53FA" w:rsidRPr="00720762" w:rsidRDefault="00623BE4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9B53FA" w:rsidRPr="00851C65" w14:paraId="4D7A4BA8" w14:textId="77777777" w:rsidTr="00186B15">
        <w:tc>
          <w:tcPr>
            <w:tcW w:w="3301" w:type="dxa"/>
          </w:tcPr>
          <w:p w14:paraId="19A3CF2B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Место поставки</w:t>
            </w:r>
          </w:p>
        </w:tc>
        <w:tc>
          <w:tcPr>
            <w:tcW w:w="6044" w:type="dxa"/>
          </w:tcPr>
          <w:p w14:paraId="3C4F68F5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КАЗАХСТАН, Актюбинская область, месторождение Урихтау</w:t>
            </w:r>
          </w:p>
        </w:tc>
      </w:tr>
      <w:tr w:rsidR="009B53FA" w:rsidRPr="00851C65" w14:paraId="048A9423" w14:textId="77777777" w:rsidTr="00186B15">
        <w:tc>
          <w:tcPr>
            <w:tcW w:w="3301" w:type="dxa"/>
          </w:tcPr>
          <w:p w14:paraId="67B53EE6" w14:textId="21A0BFE1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D8795C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выполнения работ</w:t>
            </w:r>
          </w:p>
        </w:tc>
        <w:tc>
          <w:tcPr>
            <w:tcW w:w="6044" w:type="dxa"/>
          </w:tcPr>
          <w:p w14:paraId="2F3AF9B6" w14:textId="6219A11D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даты подписания договора по 31.12.202</w:t>
            </w:r>
            <w:r w:rsidR="00623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A234BB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</w:p>
        </w:tc>
      </w:tr>
      <w:tr w:rsidR="009B53FA" w:rsidRPr="00851C65" w14:paraId="4EE91A27" w14:textId="77777777" w:rsidTr="00186B15">
        <w:tc>
          <w:tcPr>
            <w:tcW w:w="3301" w:type="dxa"/>
          </w:tcPr>
          <w:p w14:paraId="5361AE19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044" w:type="dxa"/>
          </w:tcPr>
          <w:p w14:paraId="6560D570" w14:textId="3240D7C9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Предоплата - 0%, Промежуточный платеж - </w:t>
            </w:r>
            <w:r w:rsidR="009357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%, Окончательный платеж - 0%</w:t>
            </w:r>
          </w:p>
        </w:tc>
      </w:tr>
    </w:tbl>
    <w:p w14:paraId="5F9D3CA8" w14:textId="77777777" w:rsidR="00EA5C0B" w:rsidRPr="00720762" w:rsidRDefault="00EA5C0B" w:rsidP="00EA5C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2CE7DA" w14:textId="77777777" w:rsidR="009B53FA" w:rsidRPr="00720762" w:rsidRDefault="00F96278" w:rsidP="00FE1C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</w:t>
      </w:r>
    </w:p>
    <w:p w14:paraId="0BC7627A" w14:textId="3C44C3ED" w:rsidR="00AC7FED" w:rsidRPr="00720762" w:rsidRDefault="00F96278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спецификация о закупках работ по монтажу/установке </w:t>
      </w:r>
      <w:r w:rsidR="00694EAA" w:rsidRPr="00720762">
        <w:rPr>
          <w:rFonts w:ascii="Times New Roman" w:hAnsi="Times New Roman" w:cs="Times New Roman"/>
          <w:sz w:val="24"/>
          <w:szCs w:val="24"/>
          <w:lang w:val="ru-RU"/>
        </w:rPr>
        <w:t>добывающей техники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 оборудования (</w:t>
      </w:r>
      <w:r w:rsidR="004D4D73" w:rsidRPr="00720762">
        <w:rPr>
          <w:rFonts w:ascii="Times New Roman" w:hAnsi="Times New Roman" w:cs="Times New Roman"/>
          <w:sz w:val="24"/>
          <w:szCs w:val="24"/>
          <w:lang w:val="ru-RU"/>
        </w:rPr>
        <w:t>Монтаж подземного оборудования на скважин</w:t>
      </w:r>
      <w:r w:rsidR="00D1030B" w:rsidRPr="00720762">
        <w:rPr>
          <w:rFonts w:ascii="Times New Roman" w:hAnsi="Times New Roman" w:cs="Times New Roman"/>
          <w:sz w:val="24"/>
          <w:szCs w:val="24"/>
          <w:lang w:val="ru-RU"/>
        </w:rPr>
        <w:t>е Восточный Урихтау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126F6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</w:p>
    <w:p w14:paraId="7B199259" w14:textId="77777777" w:rsidR="00AC7FED" w:rsidRPr="00720762" w:rsidRDefault="00F96278" w:rsidP="00FE1C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1.Область выполнения Работ. </w:t>
      </w:r>
      <w:r w:rsidR="004126F6"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</w:p>
    <w:p w14:paraId="1F104ABC" w14:textId="72F12EB1" w:rsidR="00694EAA" w:rsidRPr="00720762" w:rsidRDefault="00F96278" w:rsidP="00694E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 В 2015 году открыто месторождение Восточный Урихтау и месторождение Южный Урихтау. 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</w:t>
      </w:r>
      <w:r w:rsidR="00023A20" w:rsidRPr="00720762">
        <w:rPr>
          <w:rFonts w:ascii="Times New Roman" w:hAnsi="Times New Roman" w:cs="Times New Roman"/>
          <w:sz w:val="24"/>
          <w:szCs w:val="24"/>
          <w:lang w:val="ru-RU"/>
        </w:rPr>
        <w:t>7–</w:t>
      </w:r>
      <w:r w:rsidR="007F4EDC" w:rsidRPr="00720762">
        <w:rPr>
          <w:rFonts w:ascii="Times New Roman" w:hAnsi="Times New Roman" w:cs="Times New Roman"/>
          <w:sz w:val="24"/>
          <w:szCs w:val="24"/>
          <w:lang w:val="ru-RU"/>
        </w:rPr>
        <w:t>8 км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юго-западнее). Среднегодовые температуры разнятся между -40 и +40 С. </w:t>
      </w:r>
      <w:r w:rsidR="004126F6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F0FBF13" w14:textId="77777777" w:rsidR="00AC7FED" w:rsidRPr="00720762" w:rsidRDefault="004126F6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28BCBE" w14:textId="77777777" w:rsidR="00441FB5" w:rsidRPr="00720762" w:rsidRDefault="00441FB5" w:rsidP="00441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2.Объем работ.</w:t>
      </w:r>
    </w:p>
    <w:p w14:paraId="3B82C6B3" w14:textId="77777777" w:rsidR="003C13E6" w:rsidRDefault="00441FB5" w:rsidP="00441F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ТОО «Урихтау Оперейтинг», дочерняя компания АО «НК «КазМунайГаз», проводит работы по бурению нефтяных и газовых оценочно-эксплуатационных скважин на группе месторождений Урихтау в Мугалжарском районе Актюбинской области Республики Казахстан. В 202</w:t>
      </w:r>
      <w:r w:rsidR="00623BE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году планируется провести 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освоение скважин</w:t>
      </w:r>
      <w:r w:rsidR="00623BE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ВУ-</w:t>
      </w:r>
      <w:r w:rsidR="00623BE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ревизию подземного оборудования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скважин</w:t>
      </w:r>
      <w:r w:rsidR="00623BE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месторождения Восточный Урихтау</w:t>
      </w:r>
      <w:r w:rsidR="003C13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DDB890" w14:textId="30A0409F" w:rsidR="00441FB5" w:rsidRPr="00720762" w:rsidRDefault="003C13E6" w:rsidP="00441F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="008F137D" w:rsidRPr="00C943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аботы по </w:t>
      </w:r>
      <w:r w:rsidR="008F137D" w:rsidRPr="008F137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ревизи</w:t>
      </w:r>
      <w:r w:rsidR="008F137D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F137D" w:rsidRPr="008F13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подземного оборудования скважины месторождения Восточный Урихтау </w:t>
      </w:r>
      <w:r w:rsidR="008F137D" w:rsidRPr="00C94383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будут выполнены при производственной необходимости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C13E6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Выполнение Работ по каждо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й скважине</w:t>
      </w:r>
      <w:r w:rsidRPr="003C13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осуществляется по решению Заказчика. Заказчик вправе отказаться от выполнения Работ по отдельным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скважинам</w:t>
      </w:r>
      <w:r w:rsidRPr="003C13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без компенсации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Подрядчику</w:t>
      </w:r>
      <w:r w:rsidRPr="003C13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упущенной выгоды и иных затрат.</w:t>
      </w:r>
      <w:r w:rsidR="00441FB5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FE499A" w14:textId="7479E3C3" w:rsidR="00441FB5" w:rsidRDefault="00441FB5" w:rsidP="00441F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Согласно «Правилам обеспечения промышленной безопасности для опасных производственных объектов нефтяной и газовой отраслей промышленности» (утвержден приказом Министра по инвестициям и развитию РК» от 30.12.2014г. №355), не допускается эксплуатация скважин фонтанным способом без забойного оборудования, включающего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ниппель посадочный для приемного клапана, пакера для предохранения эксплуатационной колонны, клапан циркуляционного, клапана-отсекателя. С этой целью ТОО «Урихтау Оперейтинг» (далее - Заказчик) в 202</w:t>
      </w:r>
      <w:r w:rsidR="00623BE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году планирует оборудовать на </w:t>
      </w:r>
      <w:r w:rsidR="00623BE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-х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скважин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месторождения Восточный Урихтау при капитальном ремонте комплексом подземного оборудования производства Халлибуртон и включающие гидравлический пакер, ниппель посадочный для приемного клапана, закачиваемая пробка, клапан циркуляционный, клапан-отсекатель, протекторы для НКТ, линия управления, станция управления. В стоимость работ также входят вывоз оборудования на базу Подрядчика для проверки, ревизии подземного оборудования, и работы сервисного персонала на скважине при спуске оборудования в скважину. Работы сервисного персонала на скважине будут оказываться по мере освоения скважин. Подрядчик перед началом работ обязан составить схему установки подземного оборудования и согласовать с Заказчиком. По завершении работ по спуску подземного оборудования Подрядчик обязан по каждой скважине предоставить краткий отчет с описанием дизайна (схема подземного оборудования), указанием места установки каждого подземного оборудования, давления установки гидравлического пакера, дать рекомендации по эксплуатации подземного оборудования, рекомендации по срыву пакера.</w:t>
      </w:r>
    </w:p>
    <w:p w14:paraId="7D8CCA50" w14:textId="63E67F59" w:rsidR="00833948" w:rsidRPr="00EA559D" w:rsidRDefault="00833948" w:rsidP="0083394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9D">
        <w:rPr>
          <w:rFonts w:ascii="Times New Roman" w:hAnsi="Times New Roman" w:cs="Times New Roman"/>
          <w:sz w:val="24"/>
          <w:szCs w:val="24"/>
          <w:lang w:val="ru-RU"/>
        </w:rPr>
        <w:t>Также подрядчик обязуется поставить внутрискважинное оборудование (ВСО) под эксплуатационную колонну 177,8 мм x 10,36–11,51 мм для добычи (эксплуатации) скважин</w:t>
      </w:r>
    </w:p>
    <w:tbl>
      <w:tblPr>
        <w:tblW w:w="9117" w:type="dxa"/>
        <w:jc w:val="center"/>
        <w:tblLayout w:type="fixed"/>
        <w:tblLook w:val="04A0" w:firstRow="1" w:lastRow="0" w:firstColumn="1" w:lastColumn="0" w:noHBand="0" w:noVBand="1"/>
      </w:tblPr>
      <w:tblGrid>
        <w:gridCol w:w="302"/>
        <w:gridCol w:w="1111"/>
        <w:gridCol w:w="1843"/>
        <w:gridCol w:w="141"/>
        <w:gridCol w:w="5670"/>
        <w:gridCol w:w="50"/>
      </w:tblGrid>
      <w:tr w:rsidR="00833948" w:rsidRPr="00EA559D" w14:paraId="649BF77B" w14:textId="77777777" w:rsidTr="00D87DFC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A675C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Требуемые изделия</w:t>
            </w:r>
          </w:p>
        </w:tc>
      </w:tr>
      <w:tr w:rsidR="00833948" w:rsidRPr="00EA559D" w14:paraId="6ED1ADD5" w14:textId="77777777" w:rsidTr="00D87DFC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21954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277B9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79D45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требование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92839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8E979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3948" w:rsidRPr="00851C65" w14:paraId="48773033" w14:textId="77777777" w:rsidTr="00D87DFC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6AD46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04326206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742F1" w14:textId="77777777" w:rsidR="00833948" w:rsidRPr="00084489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11FFEB53" w14:textId="2BBEAEE1" w:rsidR="00833948" w:rsidRPr="00851C65" w:rsidRDefault="00C23994" w:rsidP="00D8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51C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833948" w:rsidRPr="00851C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комплект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3857A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колонны </w:t>
            </w:r>
            <w:bookmarkStart w:id="1" w:name="_Hlk169654996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177,8мм. – 10,36мм (29ppf)</w:t>
            </w:r>
            <w:bookmarkEnd w:id="1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11,51мм (32ppf)</w:t>
            </w:r>
          </w:p>
          <w:p w14:paraId="16546740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соединения муфта – ниппель  </w:t>
            </w:r>
          </w:p>
          <w:p w14:paraId="3F09B221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 Требования API 11D1 Ql-1 класс валидации V0 – V2.</w:t>
            </w:r>
          </w:p>
          <w:p w14:paraId="72037872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Извлекаемый пакер гидравлический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0B32A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Эксплуатационный пакер гидравлической посадки, извлекаемый прямым натяжением на колонну НКТ, по стандарту API 11D1 Ql-1 класс валидации V0 – V2, с газонепроницаемым соединением повышенной герметичности премиум-класса, материал исполнения не менее 80% от предела текучести стали.</w:t>
            </w:r>
          </w:p>
          <w:p w14:paraId="09560E94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79FFB5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поставляется в комплекте с регулируемой посадочной срезной муфтой, активируемый шаром, тип соединения муфта/ниппель тип резьбы премиум (VAM TOP).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3A894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3948" w:rsidRPr="00EA559D" w14:paraId="2F25EAC1" w14:textId="77777777" w:rsidTr="00D87DFC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0E6E0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характеристики</w:t>
            </w:r>
          </w:p>
        </w:tc>
      </w:tr>
      <w:tr w:rsidR="00833948" w:rsidRPr="00851C65" w14:paraId="6C6A9A8A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BD9C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гидравлический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5FF29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гидравлической посадки, извлекаемый натяжением на колонну НКТ</w:t>
            </w:r>
          </w:p>
        </w:tc>
      </w:tr>
      <w:tr w:rsidR="00833948" w:rsidRPr="00EA559D" w14:paraId="23F8F08D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78762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 стали /Предел текучести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1A022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L80-1 80 KSI</w:t>
            </w:r>
          </w:p>
        </w:tc>
      </w:tr>
      <w:tr w:rsidR="00833948" w:rsidRPr="00EA559D" w14:paraId="21CB3384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10D8B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14971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½” Газонепроницаемое премиум (VAM TOP)</w:t>
            </w:r>
          </w:p>
        </w:tc>
      </w:tr>
      <w:tr w:rsidR="00833948" w:rsidRPr="00EA559D" w14:paraId="2DFD99AE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42307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Рабочий перепад давления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06F60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7,500 Psi (517 Бар)</w:t>
            </w:r>
          </w:p>
        </w:tc>
      </w:tr>
      <w:tr w:rsidR="00833948" w:rsidRPr="00851C65" w14:paraId="12E2AD4C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7FF3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Максимальный наружный диаметр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28204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5,969 дюйма (151,6 мм/API drift/шаблон)</w:t>
            </w:r>
          </w:p>
        </w:tc>
      </w:tr>
      <w:tr w:rsidR="00833948" w:rsidRPr="00EA559D" w14:paraId="24CE3611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EE7EC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внутренний диаметр 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3FBC3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2,922 дюйма (74,22 мм)</w:t>
            </w:r>
          </w:p>
        </w:tc>
      </w:tr>
      <w:tr w:rsidR="00833948" w:rsidRPr="00EA559D" w14:paraId="02828990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CF5EE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Посадочная срезная муфта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37771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Активируемая шаром, максимальное давление 10,000 PSI, </w:t>
            </w:r>
          </w:p>
          <w:p w14:paraId="7CB9E491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 атм.</w:t>
            </w:r>
          </w:p>
        </w:tc>
      </w:tr>
      <w:tr w:rsidR="00833948" w:rsidRPr="00EA559D" w14:paraId="47A2A69A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0897" w14:textId="23BE701D" w:rsidR="00833948" w:rsidRPr="009B0991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Посадочный ниппель с профилем </w:t>
            </w:r>
            <w:r w:rsidR="00FE6D11" w:rsidRPr="00A8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A82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N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A7A4D" w14:textId="77777777" w:rsidR="00833948" w:rsidRPr="009B0991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 3 ½” (VAM TOP)</w:t>
            </w:r>
          </w:p>
        </w:tc>
      </w:tr>
      <w:tr w:rsidR="00833948" w:rsidRPr="00EA559D" w14:paraId="5751AF80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387D" w14:textId="77777777" w:rsidR="00833948" w:rsidRPr="009B0991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Замок (Lock Mandrel)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9E561" w14:textId="2B1E6453" w:rsidR="00833948" w:rsidRPr="009B0991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51BB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дюйма </w:t>
            </w:r>
          </w:p>
        </w:tc>
      </w:tr>
      <w:tr w:rsidR="00833948" w:rsidRPr="00EA559D" w14:paraId="6851D418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6A5AD" w14:textId="77777777" w:rsidR="00833948" w:rsidRPr="009B0991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Переходник для подвешивания датчика (Instrument hanger)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ED86F" w14:textId="42837CF3" w:rsidR="00833948" w:rsidRPr="009B0991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51BB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дюйма </w:t>
            </w:r>
          </w:p>
        </w:tc>
      </w:tr>
      <w:tr w:rsidR="00833948" w:rsidRPr="00EA559D" w14:paraId="198FB9A4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27848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Скважинные условия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D3AA5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Присутствие сероводорода (H2S)</w:t>
            </w:r>
          </w:p>
        </w:tc>
      </w:tr>
      <w:tr w:rsidR="00833948" w:rsidRPr="00851C65" w14:paraId="7D56BE3C" w14:textId="77777777" w:rsidTr="00D87DFC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1790F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Валидации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DFBEF" w14:textId="77777777" w:rsidR="00833948" w:rsidRPr="00EA559D" w:rsidRDefault="00833948" w:rsidP="00D8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API 11D1 Ql-1 класс валидации V0 – V2</w:t>
            </w:r>
          </w:p>
        </w:tc>
      </w:tr>
    </w:tbl>
    <w:p w14:paraId="03CD0FC4" w14:textId="77777777" w:rsidR="00833948" w:rsidRPr="00211DFC" w:rsidRDefault="00833948" w:rsidP="00833948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  </w:t>
      </w:r>
    </w:p>
    <w:p w14:paraId="6CE2915E" w14:textId="77777777" w:rsidR="00833948" w:rsidRPr="00EA559D" w:rsidRDefault="00833948" w:rsidP="00833948">
      <w:pPr>
        <w:pStyle w:val="ae"/>
        <w:spacing w:before="0" w:beforeAutospacing="0" w:after="0" w:afterAutospacing="0"/>
        <w:jc w:val="both"/>
        <w:rPr>
          <w:rFonts w:ascii="-webkit-standard" w:hAnsi="-webkit-standard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Особенности газонепроницаемого соединения премиум-класса</w:t>
      </w:r>
    </w:p>
    <w:p w14:paraId="4AEFA1B5" w14:textId="77777777" w:rsidR="00833948" w:rsidRPr="00EA559D" w:rsidRDefault="00833948" w:rsidP="008339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Система уплотнения «металл-металл» с отличным газонепроницаемым уплотнением при самых тяжелых комбинированных нагрузках и неблагоприятных условиях окружающей среды.</w:t>
      </w:r>
    </w:p>
    <w:p w14:paraId="661B7F95" w14:textId="77777777" w:rsidR="00833948" w:rsidRPr="00EA559D" w:rsidRDefault="00833948" w:rsidP="008339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100% внутреннее и внешнее давление металлического уплотнения равно телу трубы.</w:t>
      </w:r>
    </w:p>
    <w:p w14:paraId="47FA675F" w14:textId="77777777" w:rsidR="00833948" w:rsidRPr="00EA559D" w:rsidRDefault="00833948" w:rsidP="008339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Многократные свинчивания\отвинчивания не влияют на целостность уплотнения.</w:t>
      </w:r>
    </w:p>
    <w:p w14:paraId="6C5C8518" w14:textId="77777777" w:rsidR="00833948" w:rsidRPr="00EA559D" w:rsidRDefault="00833948" w:rsidP="008339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Показатель на растяжение не менее: 100%</w:t>
      </w:r>
    </w:p>
    <w:p w14:paraId="346AE4E7" w14:textId="77777777" w:rsidR="00833948" w:rsidRPr="00EA559D" w:rsidRDefault="00833948" w:rsidP="008339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Показатель на сжатие не менее: 100%</w:t>
      </w:r>
    </w:p>
    <w:p w14:paraId="03DC3D13" w14:textId="77777777" w:rsidR="00833948" w:rsidRPr="00EA559D" w:rsidRDefault="00833948" w:rsidP="00833948">
      <w:pPr>
        <w:pStyle w:val="a3"/>
        <w:spacing w:after="0" w:line="240" w:lineRule="auto"/>
        <w:ind w:left="360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</w:p>
    <w:p w14:paraId="331FBC7F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55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Маркировка </w:t>
      </w:r>
    </w:p>
    <w:p w14:paraId="638F2F9F" w14:textId="77777777" w:rsidR="00833948" w:rsidRPr="00EA559D" w:rsidRDefault="00833948" w:rsidP="0083394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</w:rPr>
        <w:t>Маркировка пакера должна строго соответствовать нормам API (техническим условиям API 5CT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 где номенклатура не указана, позиции должны быть снабжены номером договора и номерами позиций).</w:t>
      </w:r>
    </w:p>
    <w:p w14:paraId="0722DEA7" w14:textId="77777777" w:rsidR="00833948" w:rsidRPr="00EA559D" w:rsidRDefault="00833948" w:rsidP="0083394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C451C2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559D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Упаковка</w:t>
      </w:r>
    </w:p>
    <w:p w14:paraId="098155F3" w14:textId="77777777" w:rsidR="00833948" w:rsidRPr="00EA559D" w:rsidRDefault="00833948" w:rsidP="00833948">
      <w:pPr>
        <w:pStyle w:val="ae"/>
        <w:spacing w:before="0" w:beforeAutospacing="0" w:after="0" w:afterAutospacing="0"/>
        <w:jc w:val="both"/>
        <w:rPr>
          <w:rFonts w:ascii="-webkit-standard" w:hAnsi="-webkit-standard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</w:rPr>
        <w:t>Товар должен быть поставлен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 ящике).</w:t>
      </w:r>
    </w:p>
    <w:p w14:paraId="41CAEFEB" w14:textId="77777777" w:rsidR="00833948" w:rsidRPr="00EA559D" w:rsidRDefault="00833948" w:rsidP="00833948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Каждая упаковка должна содержать подробный упаковочный лист.</w:t>
      </w:r>
    </w:p>
    <w:p w14:paraId="2162DD65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Резьбовые соединения</w:t>
      </w:r>
    </w:p>
    <w:p w14:paraId="68D4290E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2E37F539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Условия поставки</w:t>
      </w:r>
    </w:p>
    <w:p w14:paraId="33C75E34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Поставляемый Товар должен быть новым и соответствовать применимым международным стандартам и стандартам Республики Казахстан.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Срок поставки – 60 календарных дней.</w:t>
      </w:r>
    </w:p>
    <w:p w14:paraId="0275CA36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BDB1A82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Письменная Гарантия предоставления следующих ДОКУМЕНТОВ при поставке товара:</w:t>
      </w:r>
    </w:p>
    <w:p w14:paraId="1F94E378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Сертификат соответствия;</w:t>
      </w:r>
    </w:p>
    <w:p w14:paraId="2DE72EEA" w14:textId="77777777" w:rsidR="00833948" w:rsidRPr="00EA559D" w:rsidRDefault="00833948" w:rsidP="008339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Сертификат происхождения товара;</w:t>
      </w:r>
    </w:p>
    <w:p w14:paraId="18FF82F4" w14:textId="77777777" w:rsidR="00833948" w:rsidRDefault="00833948" w:rsidP="008339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Копия отчета испытания по стандарту API 11D1 Ql-1 класс валидации V0 – V2;</w:t>
      </w:r>
    </w:p>
    <w:p w14:paraId="4385C2BE" w14:textId="77777777" w:rsidR="00833948" w:rsidRPr="00720762" w:rsidRDefault="00833948" w:rsidP="00441F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5A51E3" w14:textId="77777777" w:rsidR="00441FB5" w:rsidRPr="00720762" w:rsidRDefault="00441FB5" w:rsidP="00441F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bookmarkStart w:id="2" w:name="_Hlk115269433"/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Технические данные по скважине на месторождении Восточный Урихт</w:t>
      </w:r>
      <w:bookmarkEnd w:id="2"/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ау   </w:t>
      </w:r>
    </w:p>
    <w:tbl>
      <w:tblPr>
        <w:tblW w:w="951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426"/>
        <w:gridCol w:w="1419"/>
        <w:gridCol w:w="1406"/>
        <w:gridCol w:w="1230"/>
        <w:gridCol w:w="1096"/>
        <w:gridCol w:w="1567"/>
      </w:tblGrid>
      <w:tr w:rsidR="00441FB5" w:rsidRPr="00720762" w14:paraId="52AFEA7B" w14:textId="77777777" w:rsidTr="00B65DF0">
        <w:trPr>
          <w:trHeight w:val="60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7377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_Hlk115269471"/>
            <w:bookmarkStart w:id="4" w:name="_Hlk100055829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7BC3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D862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FAD8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Марка стали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291A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Толщина стенок, мм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B538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Резьба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F8F8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Интервал, м</w:t>
            </w:r>
          </w:p>
        </w:tc>
      </w:tr>
      <w:tr w:rsidR="00441FB5" w:rsidRPr="00720762" w14:paraId="5DF48B2A" w14:textId="77777777" w:rsidTr="00B65DF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46DA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EEAF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48CB" w14:textId="77777777" w:rsidR="00720762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  <w:r w:rsidR="00720762"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0762"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2AEB971" w14:textId="5151555E" w:rsidR="00441FB5" w:rsidRPr="00720762" w:rsidRDefault="00720762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(29–32 </w:t>
            </w: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ppf</w:t>
            </w: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0648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D704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CA4" w14:textId="77777777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67C4" w14:textId="354563FA" w:rsidR="00441FB5" w:rsidRPr="00720762" w:rsidRDefault="00441FB5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0-42</w:t>
            </w:r>
            <w:r w:rsidR="009C39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E5F85"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bookmarkEnd w:id="3"/>
    </w:tbl>
    <w:p w14:paraId="098BB69C" w14:textId="77777777" w:rsidR="00441FB5" w:rsidRPr="00720762" w:rsidRDefault="00441FB5" w:rsidP="00441FB5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bookmarkEnd w:id="4"/>
    <w:p w14:paraId="4FE924CF" w14:textId="77777777" w:rsidR="00441FB5" w:rsidRPr="00720762" w:rsidRDefault="00441FB5" w:rsidP="00441FB5">
      <w:pPr>
        <w:overflowPunct w:val="0"/>
        <w:ind w:firstLine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Pr="007207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Нефтеносность</w:t>
      </w:r>
    </w:p>
    <w:tbl>
      <w:tblPr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1134"/>
        <w:gridCol w:w="2126"/>
      </w:tblGrid>
      <w:tr w:rsidR="00441FB5" w:rsidRPr="00720762" w14:paraId="33A83277" w14:textId="77777777" w:rsidTr="0072097D">
        <w:trPr>
          <w:cantSplit/>
          <w:trHeight w:val="579"/>
        </w:trPr>
        <w:tc>
          <w:tcPr>
            <w:tcW w:w="4536" w:type="dxa"/>
            <w:vMerge w:val="restart"/>
            <w:vAlign w:val="center"/>
          </w:tcPr>
          <w:p w14:paraId="3E36047F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5" w:name="_Hlk115269512"/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Индекс стратиграфического</w:t>
            </w:r>
          </w:p>
          <w:p w14:paraId="39575A2C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подразделения</w:t>
            </w:r>
          </w:p>
        </w:tc>
        <w:tc>
          <w:tcPr>
            <w:tcW w:w="2552" w:type="dxa"/>
            <w:gridSpan w:val="2"/>
            <w:vAlign w:val="center"/>
          </w:tcPr>
          <w:p w14:paraId="672B223F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Интервал, м</w:t>
            </w:r>
          </w:p>
        </w:tc>
        <w:tc>
          <w:tcPr>
            <w:tcW w:w="2126" w:type="dxa"/>
            <w:vMerge w:val="restart"/>
            <w:vAlign w:val="center"/>
          </w:tcPr>
          <w:p w14:paraId="7CCDCA09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Тип</w:t>
            </w:r>
          </w:p>
          <w:p w14:paraId="7DCCC4D6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коллектора</w:t>
            </w:r>
          </w:p>
        </w:tc>
      </w:tr>
      <w:tr w:rsidR="00441FB5" w:rsidRPr="00720762" w14:paraId="7E7CB867" w14:textId="77777777" w:rsidTr="0072097D">
        <w:trPr>
          <w:cantSplit/>
          <w:trHeight w:val="529"/>
        </w:trPr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14:paraId="56A4C849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A4762F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</w:t>
            </w:r>
          </w:p>
          <w:p w14:paraId="62569E7F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(верх)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0B5B89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</w:t>
            </w:r>
          </w:p>
          <w:p w14:paraId="3EC351BD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(низ)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62397A0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41FB5" w:rsidRPr="00720762" w14:paraId="4C7E41E2" w14:textId="77777777" w:rsidTr="0072097D">
        <w:trPr>
          <w:cantSplit/>
          <w:trHeight w:val="211"/>
        </w:trPr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11BB3B1C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6D76608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07217FA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40E87D8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441FB5" w:rsidRPr="00720762" w14:paraId="56C951EB" w14:textId="77777777" w:rsidTr="0072097D">
        <w:trPr>
          <w:cantSplit/>
          <w:trHeight w:val="765"/>
        </w:trPr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B261D5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u-RU" w:eastAsia="ru-RU"/>
              </w:rPr>
              <w:t xml:space="preserve">3 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(КТ-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 *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5FDCFB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AD504A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EE0F2E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Порово-трещиноватый</w:t>
            </w:r>
          </w:p>
        </w:tc>
      </w:tr>
      <w:tr w:rsidR="00441FB5" w:rsidRPr="00720762" w14:paraId="1D694820" w14:textId="77777777" w:rsidTr="0072097D">
        <w:trPr>
          <w:cantSplit/>
          <w:trHeight w:val="414"/>
        </w:trPr>
        <w:tc>
          <w:tcPr>
            <w:tcW w:w="4536" w:type="dxa"/>
            <w:vAlign w:val="center"/>
          </w:tcPr>
          <w:p w14:paraId="04588808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ru-RU" w:eastAsia="ru-RU"/>
              </w:rPr>
              <w:t xml:space="preserve">2 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(КТ-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53673E59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390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ACFB2F3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420</w:t>
            </w: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14:paraId="4D10ED37" w14:textId="77777777" w:rsidR="00441FB5" w:rsidRPr="00720762" w:rsidRDefault="00441FB5" w:rsidP="00720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0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Порово-трещиноватый</w:t>
            </w:r>
          </w:p>
        </w:tc>
      </w:tr>
      <w:bookmarkEnd w:id="5"/>
    </w:tbl>
    <w:p w14:paraId="6B00B1BD" w14:textId="77777777" w:rsidR="00441FB5" w:rsidRPr="00720762" w:rsidRDefault="00441FB5" w:rsidP="00441FB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8C4232" w14:textId="77777777" w:rsidR="00CA3FDB" w:rsidRPr="00720762" w:rsidRDefault="00CA3FDB" w:rsidP="00CA3FD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Примечание: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Интервалы нефтеносности будут уточняться по данным геологической службы Заказчика;</w:t>
      </w:r>
    </w:p>
    <w:p w14:paraId="19D43E4D" w14:textId="77777777" w:rsidR="00CA3FDB" w:rsidRPr="00720762" w:rsidRDefault="00CA3FDB" w:rsidP="00CA3FD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* - по аналогии с горизонтом КТ-I месторождения Урихтау.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77BE36A" w14:textId="77777777" w:rsidR="00CA3FDB" w:rsidRPr="00720762" w:rsidRDefault="00CA3FDB" w:rsidP="00CA3F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Мероприятия по безопасности и охране окружающей среды    </w:t>
      </w:r>
    </w:p>
    <w:p w14:paraId="76D0387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4.1. Перед началом работ провести совещание с участием представителей Заказчика и Подрядчика.                                                                                                                                                                                    4.2. Общее руководство при проведении услуг по монтажу/демонтажу подземного оборудования на скважинах возлагается на Подрядчика, контроль за выполнением работ проводит уполномоченный представитель Заказчика.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4.3. С планом работ должны быть ознакомлены все работники, связанные с проведением работ по монтажу/демонтажу и спуску/подъему подземного оборудования на скважинах. </w:t>
      </w:r>
    </w:p>
    <w:p w14:paraId="2D122636" w14:textId="7FA50F2F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4.4. Общие требования по обеспечению пожарной безопасности должны соответствовать ГОСТ 12.1.004. -76 и ОСТ 39-107-</w:t>
      </w:r>
      <w:r w:rsidR="007A54A4" w:rsidRPr="00720762">
        <w:rPr>
          <w:rFonts w:ascii="Times New Roman" w:hAnsi="Times New Roman" w:cs="Times New Roman"/>
          <w:sz w:val="24"/>
          <w:szCs w:val="24"/>
          <w:lang w:val="ru-RU"/>
        </w:rPr>
        <w:t>80.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4.5. Работы по монтажу/демонтажу подземного оборудования должны проводиться в соответствии с требованиями промышленной безопасности в нефтегазодобывающей отрасли РК, Закона о промышленной безопасности на опасных производственных объектах, противопожарной безопасности и согласно экологического кодекса РК, Положения о взаимоотношении при ведении работ подрядными организациями на обьектах повышенной опасности, а также другими нормативными документами, действующие на территории РК.</w:t>
      </w:r>
    </w:p>
    <w:p w14:paraId="2C50B378" w14:textId="77777777" w:rsidR="00CA3FDB" w:rsidRPr="00720762" w:rsidRDefault="00CA3FDB" w:rsidP="00CA3F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5.Требования к Подрядчику   </w:t>
      </w:r>
    </w:p>
    <w:p w14:paraId="48C5EEE9" w14:textId="72FB845A" w:rsidR="00BF25D2" w:rsidRDefault="00CA3FDB" w:rsidP="00A90FB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5.1. Подрядчик выполняет Работы на основе Договора и технической спецификации по монтажу/демонтажу подземного оборудования на нефтяных скважинах подземным оборудованием.                                                                                                                                                                               5.2. Подрядчик должен произвести вывоз подземного оборудования для заканчивания скважин (клапан-отсекатель, клапан циркуляционный, пакер гидравлический, посадочный ниппель,) с базы Заказчика на базу Подрядчика, где должен произвести комплекс работ по подготовке оборудования к спуску в скважину в присутствии представителя Заказчика (инспекция и ревизия оборудования) сроком не более 30 календарных дней с момента получения заявки от Заказчика, по завершению подготовки составить акт об инспекции и/или ревизии подземного оборудования и производит завоз на базу Заказчика.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5.2.1. Подрядчик должен иметь </w:t>
      </w:r>
      <w:r w:rsidR="000E2EE2" w:rsidRPr="00720762">
        <w:rPr>
          <w:rFonts w:ascii="Times New Roman" w:hAnsi="Times New Roman" w:cs="Times New Roman"/>
          <w:sz w:val="24"/>
          <w:szCs w:val="24"/>
          <w:lang w:val="ru-RU"/>
        </w:rPr>
        <w:t>Специалиста по заканчиванию скважин/или Специалиста по инструментам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, который будет выполнять следующие работы: изучение геолого-технических данных каждой скважины, где планируется произвести работы, на основе изученных данных составить план работ по заканчиванию скважины; вести контроль при спуске подземного оборудования; давать рекомендации по правильному спуску подземного оборудования, вести контроль пакеровки пакера, креплении импульсных трубок для управления клапаном-отсекателем к телу НКТ, проводить работы в пропуске импульсной трубки через трубную головку ФА и соединении импульсной трубки со станции управления, открыть клапан-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отсекать с помощью станции управления.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5.2.2. Подрядчик должен подготовить станцию управления, произвести заправку аккумуляторов азотом при необходимости. Произвести комплексные мероприятия по монтажу/демонтажу станции управления, произвести ее пуск и наладку под ключ на ранее подготовленное Заказчиком место.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</w:t>
      </w:r>
      <w:bookmarkStart w:id="6" w:name="_Hlk219299927"/>
      <w:r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5.2.3. </w:t>
      </w:r>
      <w:r w:rsidR="00BF25D2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Подрядчик за свой счет предоставляет </w:t>
      </w:r>
      <w:r w:rsidR="009C39EA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комплекты </w:t>
      </w:r>
      <w:r w:rsidR="00BF25D2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фитинг</w:t>
      </w:r>
      <w:r w:rsidR="009C39EA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BF25D2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контрольной линии клапана отсекателя</w:t>
      </w:r>
      <w:r w:rsidR="00F83463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C39EA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каждой скважины </w:t>
      </w:r>
      <w:r w:rsidR="00F83463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количестве необходимом для монтажа и полноценного функционирования внутрискважинного оборудования</w:t>
      </w:r>
      <w:r w:rsidR="00BF25D2" w:rsidRPr="00F634F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bookmarkEnd w:id="6"/>
    </w:p>
    <w:p w14:paraId="3D759504" w14:textId="78DCA6DE" w:rsidR="00CA3FDB" w:rsidRPr="00720762" w:rsidRDefault="00BF25D2" w:rsidP="00A90FB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5.2.4. 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Подрядчик при производстве работ на одной скважине должен иметь одного технического специалиста по подготовке подземного оборудования который будет осуществлять следующие работы: Инспекция и сборка компоновок подземного оборудования при спуске в скважину</w:t>
      </w:r>
      <w:r w:rsidR="00A90FB2" w:rsidRPr="0072076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2E28C0C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Произвести процедуру сборки по инструкции: </w:t>
      </w:r>
    </w:p>
    <w:p w14:paraId="2823A125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1. Рекомендуется частично собирать плотно прилегающие компоненты без эластомеров, чтобы убедиться, что они могут быть собраны без помех.</w:t>
      </w:r>
    </w:p>
    <w:p w14:paraId="79E9DAC9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Нарежьте всю резьбу для срезных винтов. Соберите все компоненты, которые необходимо собрать, на поддоне или тележке и убедитесь, что номера деталей и количество компонентов соответствуют спецификации, указанной в спецификации.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2. Очистите и осмотрите все детали. Убедитесь, что оправка чистая и не содержит ржавчины и мусора.</w:t>
      </w:r>
    </w:p>
    <w:p w14:paraId="1B7B42C3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 В некоторых конструкциях PHL пакеров держатель скольжения (AA) и корпус срезного винта (BB) скреплены вместе или с помощью фиксирующей проволоки. Если они скреплены/соединены проводами, установите корпус срезного винта на опору скольжения.</w:t>
      </w:r>
    </w:p>
    <w:p w14:paraId="62BD027D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Убедитесь, что на уплотнительных поверхностях нет царапин и повреждений.</w:t>
      </w:r>
    </w:p>
    <w:p w14:paraId="0815527A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все повторно использованные компоненты ремонтируемого узла необходимо </w:t>
      </w:r>
    </w:p>
    <w:p w14:paraId="3509B65D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очистить и осмотреть, чтобы убедиться в отсутствии повреждений резьбы и уплотняющих </w:t>
      </w:r>
    </w:p>
    <w:p w14:paraId="50A5CF6C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поверхностей. Пропустите резьбовые метчики через все отверстия для установочных и срезных винтов, чтобы убедиться в их чистоте.</w:t>
      </w:r>
    </w:p>
    <w:p w14:paraId="04134093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Если в сборе имеется опорное кольцо, установите опорное кольцо в держатель скольжения.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</w:r>
    </w:p>
    <w:p w14:paraId="71A0EED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Примечание. Для 7 дюймовых сборок срезной корпус (BB) необходимо установить на нижний конец оправки (C). В этих случаях выполните шаги с а по с, а затем перейдите к шагу 1.</w:t>
      </w:r>
    </w:p>
    <w:p w14:paraId="45F6903B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а. Поместите оправку в тиски, взявшись за верхний конец оправки (С). Будьте осторожны, чтобы не повредить оправку.</w:t>
      </w:r>
    </w:p>
    <w:p w14:paraId="12C95939" w14:textId="37527704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б. Установите накладки (G) и пружины (D) в сварную конструкцию нижнего держателя сдвига/срезного корпуса. Если применимо, установите стопорное кольцо (CC) в самую нижнюю канавку для стопорного кольца на оправке (C).(АА/ББ).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в. Поддерживая накладки, наденьте накладки и держатель накладок на оправку (С).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д. Установите стопорное кольцо (СС) на оправку (С). Не растягивайте стопорное кольцо слишком сильно. Должно быть плотно на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1. Установите нижний переводник (EE) или заводскую муфту, затянув вручную, на нижний конец оправки (C) и зажмите нижний переводник/муфту.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2. Установите накладки (G) и пружины (D) в нижний держатель накладок (AA)/срезной корпус (BB).</w:t>
      </w:r>
    </w:p>
    <w:p w14:paraId="51709EDF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опустите цилиндр настолько, чтобы можно было установить стопорное кольцо (J).</w:t>
      </w:r>
    </w:p>
    <w:p w14:paraId="688BAF92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Поддержите накладки и сначала наденьте накладки и держатель накладок/корпус среза на отверстия срезного винта (DD) оправки (C). Если применимо, сдвиньте его вниз настолько, чтобы обеспечить доступ к нижней канавке стопорного кольца.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3. Если применимо, установите стопорное кольцо (CC) в самую нижнюю канавку для стопорного кольца на оправке (C). (АА/ББ).</w:t>
      </w:r>
    </w:p>
    <w:p w14:paraId="51DB56B8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Не растягивайте стопорное кольцо слишком сильно. Он должен плотно прилегать к оправке.</w:t>
      </w:r>
    </w:p>
    <w:p w14:paraId="669AB326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4. Смажьте уплотнительные поверхности</w:t>
      </w:r>
    </w:p>
    <w:p w14:paraId="57D79EA2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 Смажьте и установите уплотнительные кольца (L) в цилиндр (X).</w:t>
      </w:r>
    </w:p>
    <w:p w14:paraId="05ED80ED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6. Наденьте цилиндр (X) на оправку (С). Используйте молоток и деревянный брусок, чтобы выбить опустите цилиндр настолько, чтобы можно было установить стопорное кольцо (J).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7. Установите стопорное кольцо (J) под цилиндр (X) в канавку оправки (С). Не растягивайте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стопорное кольцо слишком сильно. Он должен плотно прилегать к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8. Сдвиньте цилиндр (X) вверх до упора в стопорное кольцо (J).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9. Смажьте и установите уплотнительные кольца на поршень (Y).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10. Наденьте корпус (W), спиральное кольцо (U), волнистую пружину (T) и фиксатор (S) на поршень (Y). Установите этот </w:t>
      </w:r>
    </w:p>
    <w:p w14:paraId="0377AFEF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узел на конец поршня с резьбой вниз.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11. Удерживая корпус контактных колодок (W) вверх, поместите внутренние колодки (V) на спиральное кольцо (U).</w:t>
      </w:r>
    </w:p>
    <w:p w14:paraId="21A52145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из этого положения установите накладки (V) в пронумерованной последовательности и против часовой стрелки (смотря вниз на конический конец накладок).</w:t>
      </w:r>
    </w:p>
    <w:p w14:paraId="56FA0571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12. Опустите корпус направляющих (W) на внутренние направляющие (V) и доведите их до фиксатора (X).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13. Тщательно совместите отверстия срезных штифтов в поршне (Y) и фиксаторе (S). Установите ножницы винты (R).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следите за тем, чтобы не сдвинуть корпус внутренних направляющих (W) слишком сильно вниз. Внутренние направляющие </w:t>
      </w:r>
    </w:p>
    <w:p w14:paraId="50AFB4CA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(V) не позволяют корпусу внутренних направляющих двигаться обратно вверх.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14. Установите поршневой узел в цилиндр (X) и вставьте корпус с внутренними направляющими (W) в цилиндр.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15. Перейдите к шагу 22, чтобы продолжить сборку.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16. Используя молоток и деревянный брусок, установите поршень (Y) на оправку (С) и в цилиндр (X) до тех пор, пока он не упрется в заплечик цилиндра. </w:t>
      </w:r>
    </w:p>
    <w:p w14:paraId="7FB78312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17. Убедитесь, что цилиндр прилегает к стопорному кольцу (J). Если установлен, снимите корпус/разъем оправки элемента (Q).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Примечание: для облегчения установки прикрепите корпус/разъем оправки элемента (Q) к поршню, затянув его </w:t>
      </w:r>
    </w:p>
    <w:p w14:paraId="3E2C33A3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вручную, чтобы получился плоский край, по которому можно было бы удариться.</w:t>
      </w:r>
    </w:p>
    <w:p w14:paraId="40C5D5D9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18. Установите шесть внутренних колодок (V) на поршень (Y) и в корпус внутренних колодок (W) в нумерованном порядке по часовой стрелке. Начиная с первой направляющей, вставьте ее в нижнюю часть корпуса внутренней направляющей, так как между поршнем и корпусом внутренней направляющей имеется некоторый зазор. С помощью двух пробойников, отверток или ножевого инструмента поочередно поместите каждую внутреннюю накладку в корпус внутренней накладки. Используйте один пробойник, отвертку или срезной брусок в качестве направляющей, а другой вставьте следующую планку в корпус внутренней направляющей. Когда накладки установлены, их можно повернуть против часовой стрелки до центра нижней части корпуса накладок. Это может </w:t>
      </w:r>
    </w:p>
    <w:p w14:paraId="00A9B35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помочь в сборке. Продолжайте, пока все накладки не окажутся на своих местах.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убедитесь, что цилиндр (X) прилегает к стопорному кольцу (J) и не перемещается вниз.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19. Установите спиральное кольцо (U) и волнистую пружину (T) на поршень (Y) и вставьте их в корпус внутренней направляющей (W) до тех пор, пока спиральное кольцо не упрется во внутренние направляющие (V) и волнистую пружину. упирается в спиральное кольцо.</w:t>
      </w:r>
    </w:p>
    <w:p w14:paraId="0950B08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20. Установите фиксатор (S) в корпус с внутренними направляющими (W) и совместите отверстия в фиксаторе и поршне (Y).</w:t>
      </w:r>
    </w:p>
    <w:p w14:paraId="778FC6F6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Примечание: убедитесь, что цилиндр (X) прилегает к стопорному кольцу (J) и не перемещается вниз.</w:t>
      </w:r>
    </w:p>
    <w:p w14:paraId="61D0B401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21. Установите срезные винты (R) в фиксатор (S) и в поршень (Y). Сделать весь путь вверх и отступите на 1/4 оборота.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на некоторых пакерах может потребоваться заточить срезные винты заподлицо с наружным диаметром. Убедитесь, что глубина отверстия — длина штифта = выступ или выемка штифта.  </w:t>
      </w:r>
    </w:p>
    <w:p w14:paraId="1E966A8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22. Установите стопорное кольцо (J) на оправку (С). Не растягивайте стопорное кольцо слишком сильно. Он должен плотно прилегать к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23. Вставьте клин цанги (I) в оправку элемента (K).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Примечание. Это можно сделать, поставив оправку элемента на нижний конец и используя молоток и деревянный брусок сверху клина цанги, чтобы защелкнуть клин цанги в оправке элемента.</w:t>
      </w:r>
    </w:p>
    <w:p w14:paraId="0B8065B4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ВНИМАНИЕ! Некоторые пакеры имеют участки уплотнения на оправке элемента для проверки. Будьте осторожны, чтобы не повредить их.</w:t>
      </w:r>
    </w:p>
    <w:p w14:paraId="57CA5C84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24. Слегка смажьте оправку элемента (K) в местах соприкосновения элементов (M и N). Установить элементы набивки на оправку элемента. Примечание. Ознакомьтесь с конкретными проектными спецификациями и сборочным чертежом собираемого пакера. Некоторые стопки элементов содержат разделители элементов (KK).</w:t>
      </w:r>
    </w:p>
    <w:p w14:paraId="094C21A7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25. Вставьте стопорное кольцо (P) в резьбовой конец разъема (Q)</w:t>
      </w:r>
    </w:p>
    <w:p w14:paraId="48B3B425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 Стопорное кольцо необходимо будет установить на место с усилием.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26. Используя плоскогубцы через прорезь в соединителе (Q), максимально раздвиньте стопорное кольцо (P) и вставьте соединитель и стопорное кольцо на место в оправку элемента (K).</w:t>
      </w:r>
    </w:p>
    <w:p w14:paraId="3112DD4A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убедитесь, что стопорное кольцо надежно находится в канавке на оправке элемента.</w:t>
      </w:r>
    </w:p>
    <w:p w14:paraId="3BC01E4C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27. Смажьте и установите уплотнительное кольцо (L) в оправку элемента (K).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28. Слегка смажьте верхнюю оправку (С) и установите элемент в сборе на оправку. Подсоедините разъем (Q) к поршню (Y).</w:t>
      </w:r>
    </w:p>
    <w:p w14:paraId="54572F36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29. Совместите отверстия и установите срезные винты/фиксирующие штифты (O) в разъем (Q) и оправку элемента (K).</w:t>
      </w:r>
    </w:p>
    <w:p w14:paraId="2FBB1025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убедитесь, что глубина отверстия, длина штифта, выступ или выемка штифта.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30. Установите верхнее стопорное кольцо (J) под клин цанги (I) в канавку оправки.</w:t>
      </w:r>
    </w:p>
    <w:p w14:paraId="36673A0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(С). Не растягивайте стопорное кольцо слишком сильно. Он должен плотно прилегать к оправке. </w:t>
      </w:r>
    </w:p>
    <w:p w14:paraId="3128F4AF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31. Установите опору клина (F) на оправку (С) и стыкуйте ее со стопорным кольцом (J).</w:t>
      </w:r>
    </w:p>
    <w:p w14:paraId="0B3F9985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32. Совместите отверстия в цанговом клине (F) и опоре клина (F). Установите штифты привода (H) чуть ниже наружного диаметра клина цанги.</w:t>
      </w:r>
    </w:p>
    <w:p w14:paraId="21F142C8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33. Переместите корпус срезного винта (BB) вверх до тех пор, пока он не упрется в нижнее </w:t>
      </w:r>
    </w:p>
    <w:p w14:paraId="3F9BC6BA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стопорное кольцо. Установите срезные винты (DD) в корпус среза и в канавку оправки (C).</w:t>
      </w:r>
    </w:p>
    <w:p w14:paraId="56239FC4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Примечание: не устанавливайте верхний переводник (A), держатель накладок (B) или накладки (G) до завершения тестирования.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34. Установите на узел соответствующие испытательные приспособления.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35. Испытание по ТУ.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ПРЕДУПРЕЖДЕНИЕ перед началом любых испытаний под давлением убедитесь, что приняты все меры предосторожности.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36. Установите накладки (G) и пружины (D) в верхний держатель накладок (B).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37. Поддержите накладки (G) и установите держатель накладок (B) на оправку (C)</w:t>
      </w:r>
    </w:p>
    <w:p w14:paraId="2FB50602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38. Если применимо, установите уплотнительное кольцо в верхний переводник (А).</w:t>
      </w:r>
    </w:p>
    <w:p w14:paraId="4EB45278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39. Установите верхний переводник (А) на оправку (С) согласно следующим инструкциям:</w:t>
      </w:r>
    </w:p>
    <w:p w14:paraId="76CC93F7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Тип А: установите верхний переводник (А) на оправку (С), обращая внимание на то, чтобы накладки опирались на верхний переходник и клиновую опору. На этом этапе полезно держать зазор между верхним переводником и верхней направляющей (B) закрытым. Затяните верхний переводник на оправке, используя момент затяжки, рекомендованный в Технических спецификациях.</w:t>
      </w:r>
    </w:p>
    <w:p w14:paraId="21556AC9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некоторые пакеры (тип B) имеют запорное кольцо, которое будет установлено на более позднем этапе.</w:t>
      </w:r>
    </w:p>
    <w:p w14:paraId="64EE64D4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Тип B: установите верхний переходник (А) на оправку (С). Затяните верхний переводник на оправке, используя момент затяжки, рекомендованный в Технических спецификациях.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40. Мягким молотком или деревянным бруском постучите по опоре клина (F) вниз, до упора против стопорного кольца (J).</w:t>
      </w:r>
    </w:p>
    <w:p w14:paraId="289F019E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41. Установка срезного штифта: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Тип A: Поверните верхнюю опору скольжения (B) и посмотрите, как отверстия на опоре скольжения совпадают с отверстиями в клиновой опоре (F). Выберите отверстия, которые обеспечат минимальный зазор между верхним переводником (А) и несущей пластиной согласно инструкциям на сборочном чертеже. Установите штифты в направляющую и клиновую опору.</w:t>
      </w:r>
    </w:p>
    <w:p w14:paraId="68816648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Далее произвести опрессовку пакера следующим образом:</w:t>
      </w:r>
    </w:p>
    <w:p w14:paraId="473DC9F9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- Установите штифты для проверки давления, тестовую ленту и концевые приспособления для проверки. Простучать по головкам булавок, чтобы убедиться, что они находятся внизу. Не удалять стартовые установочные винты.</w:t>
      </w:r>
    </w:p>
    <w:p w14:paraId="287A2BED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- Произвести опрессовку пакера на герметичность с выдержкой 5000 PSI на 10 минут </w:t>
      </w:r>
    </w:p>
    <w:p w14:paraId="71F3EE19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Установка и снятие тестового ремешка и тестовых штифтов</w:t>
      </w:r>
    </w:p>
    <w:p w14:paraId="36022E77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Во время испытаний испытательные штифты могут заедать, поэтому может потребоваться </w:t>
      </w:r>
    </w:p>
    <w:p w14:paraId="48E3CB93" w14:textId="514CD6F9" w:rsidR="00CA3FDB" w:rsidRPr="00720762" w:rsidRDefault="00CA3FDB" w:rsidP="00100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вращать их, вытягивая вверх, или слегка постукивать по ним по длине пакера, а не вращательно, чтобы освободить их настолько, чтобы их можно было снять. Не перемещайте тестовые штифты таким образом, чтобы это могло привести к ослаблению каких-либо соединений.</w:t>
      </w:r>
    </w:p>
    <w:p w14:paraId="00CD1D1B" w14:textId="18D6ED4E" w:rsidR="00CA3FDB" w:rsidRPr="00720762" w:rsidRDefault="00CA3FDB" w:rsidP="00C952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5. Подрядчик должен произвести замену элементов в количестве на циркуляционном клапане в случае не герметичности </w:t>
      </w:r>
    </w:p>
    <w:p w14:paraId="57E23E51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6. Опрессовка согласно инструкции производителя следующего оборудования:                                                                                                                                               </w:t>
      </w:r>
    </w:p>
    <w:p w14:paraId="1D7D9B65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>1) Опрессовать Циркуляционный клапан SSD 2.750 3 ½ VAM TOP на 5000PSI</w:t>
      </w:r>
    </w:p>
    <w:p w14:paraId="76BF3B31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2) Опрессовать Клапан Отсекатель внутрискважинный TRSV, NE 5.176” 3 ½” VAM TOP на 10000 PSI тело клапана, 10000PSI негативный тест флаппера клапана отсекателя, 10500 PSI импульсная трубка клапана отсекателя зафиксировать все данные с помощью самописца и видеофиксацией. </w:t>
      </w:r>
    </w:p>
    <w:p w14:paraId="214ECE46" w14:textId="24702FC8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3) Пакер Гидравлический PHL производства Халлибуртон извлекаемый прямым натяжением 7” 3 ½” PKR VAM TOP – </w:t>
      </w:r>
      <w:r w:rsidR="00720762" w:rsidRPr="00720762">
        <w:rPr>
          <w:rFonts w:ascii="Times New Roman" w:hAnsi="Times New Roman" w:cs="Times New Roman"/>
          <w:sz w:val="24"/>
          <w:szCs w:val="24"/>
          <w:lang w:val="ru-RU"/>
        </w:rPr>
        <w:t>75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00PSI </w:t>
      </w:r>
    </w:p>
    <w:p w14:paraId="674C167D" w14:textId="12F6680B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4) Пакер Гидравлический HS производства </w:t>
      </w:r>
      <w:r w:rsidR="00720762" w:rsidRPr="00720762">
        <w:rPr>
          <w:rFonts w:ascii="Times New Roman" w:hAnsi="Times New Roman" w:cs="Times New Roman"/>
          <w:sz w:val="24"/>
          <w:szCs w:val="24"/>
          <w:lang w:val="ru-RU"/>
        </w:rPr>
        <w:t>Бейкер Хьюз,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извлекаемый прямым натяжением 7” 3 ½” PKR DLP – </w:t>
      </w:r>
      <w:r w:rsidR="00720762" w:rsidRPr="00720762">
        <w:rPr>
          <w:rFonts w:ascii="Times New Roman" w:hAnsi="Times New Roman" w:cs="Times New Roman"/>
          <w:sz w:val="24"/>
          <w:szCs w:val="24"/>
          <w:lang w:val="ru-RU"/>
        </w:rPr>
        <w:t>75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00PSI</w:t>
      </w:r>
    </w:p>
    <w:p w14:paraId="5C4D811D" w14:textId="53EA51FC" w:rsidR="00720762" w:rsidRPr="00720762" w:rsidRDefault="00720762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5)  Пакер Гидравлический WC-HP-6H производства WELLCARE OIL TOOLS извлекаемый прямым натяжением 7” 3 ½” PKR VAM TOP – 7500PSI</w:t>
      </w:r>
    </w:p>
    <w:p w14:paraId="6D07A90D" w14:textId="3CAB45C5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7. Подрядчик должен предоставить документальное подтверждение о наличие тестового приспособления для опрессовки 7 дюймового HS пакера.</w:t>
      </w:r>
    </w:p>
    <w:p w14:paraId="59ED4A49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8. Подрядчик должен произвести комплекс мер по модификации двух HS пакеров производства Бейкер Хьюз или его аналог с 7 дюймов 35-38 PPF на 7 дюймов 29-32 PPF с заменой элементов базового корпуса, уплотнительных элементов и части внешней мандрели. </w:t>
      </w:r>
    </w:p>
    <w:p w14:paraId="7F47C861" w14:textId="5CACBA2C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9. Подрядчик должен иметь производственную базу, стацинарную установку для проведения испытаний. Установка для испытания под давлением жидкостью выполенная в заводском исполнении имеющая гидравлический насос с пневмотическим приводом с рабочим давлением до </w:t>
      </w:r>
      <w:r w:rsidR="001006E9" w:rsidRPr="00720762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000PSI, минимальные размеры длина-18000 мм; ширина-914 мм; высота-914 мм. Полновращательную машину для свинчивания премиальных соединений минимальный диаметр от 2 3/8 до 7 дюймов;</w:t>
      </w:r>
    </w:p>
    <w:p w14:paraId="7FDF26B9" w14:textId="405F2850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Для выпол</w:t>
      </w:r>
      <w:r w:rsidR="000E2EE2" w:rsidRPr="0072076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ения работ на месторождении иметь мобильную насосную установку с пневматическим приводом на 15000PSI, манифольд высокого давления с гидравлическими шлангами на 15000 PSI, самописец, обжимной инструмент для обжатия импульсной трубки</w:t>
      </w:r>
      <w:r w:rsidR="003D742C" w:rsidRPr="007207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8CA55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10. Подрядчик должен произвести монтаж/демонтаж и установку/срыва пакера, циркуляционного клапана и клапана отсекателя на скважине. При монтаже/демонтаж клапана отсекателя предоставить и закачать гидравлическое масло в импульсную трубку. Полностью произвести монтаж/демонтаж импульсной трубки с выходом через колонную головку и установить выход для подготовки на станцию управления клапана отсекателя. Затем произвести наземный монтаж/демонтаж импульсной трубки через лотки с креплениями осуществить полное подключение/отключение станции управления клапана отсекателя с наблюдением подрядчика на месторождении 30 суток.  </w:t>
      </w:r>
    </w:p>
    <w:p w14:paraId="57860D05" w14:textId="7C695654" w:rsidR="00C83BA8" w:rsidRPr="00720762" w:rsidRDefault="00CA3FDB" w:rsidP="00C83B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34FC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bookmarkStart w:id="7" w:name="_Hlk194592735"/>
      <w:r w:rsidR="00C83BA8" w:rsidRPr="00F634FC">
        <w:rPr>
          <w:rFonts w:ascii="Times New Roman" w:hAnsi="Times New Roman" w:cs="Times New Roman"/>
          <w:sz w:val="24"/>
          <w:szCs w:val="24"/>
          <w:lang w:val="ru-RU"/>
        </w:rPr>
        <w:t>Подрядчик должен произвести замену разрывного диска при наличии на нем гальванической коррозии. Также при необходимости произвести ревизию и ремонт обратного клапана.</w:t>
      </w:r>
      <w:bookmarkEnd w:id="7"/>
    </w:p>
    <w:p w14:paraId="63C3A17D" w14:textId="3CEFC761" w:rsidR="00C83BA8" w:rsidRPr="00F634FC" w:rsidRDefault="00C83BA8" w:rsidP="00CA3F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Все работники Подрядчика, привлекаемые к данным работам, должны иметь удостоверения по безопасности и охране труда, промышленной безопасности (в том числе по </w:t>
      </w:r>
      <w:r w:rsidR="00CA3FDB" w:rsidRPr="00F634FC">
        <w:rPr>
          <w:rFonts w:ascii="Times New Roman" w:hAnsi="Times New Roman" w:cs="Times New Roman"/>
          <w:sz w:val="24"/>
          <w:szCs w:val="24"/>
          <w:lang w:val="ru-RU"/>
        </w:rPr>
        <w:t xml:space="preserve">курсу H2S). </w:t>
      </w:r>
    </w:p>
    <w:p w14:paraId="431E7582" w14:textId="29ED9BDA" w:rsidR="00B25703" w:rsidRDefault="00C83BA8" w:rsidP="00CA3F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4FC">
        <w:rPr>
          <w:rFonts w:ascii="Times New Roman" w:hAnsi="Times New Roman" w:cs="Times New Roman"/>
          <w:sz w:val="24"/>
          <w:szCs w:val="24"/>
          <w:lang w:val="ru-RU"/>
        </w:rPr>
        <w:t>13. Работы могут проводиться параллельно на 2 (двух) скважинах.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. Подрядчик должен предоставить</w:t>
      </w:r>
      <w:r w:rsidR="00B2570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8974F0" w14:textId="3BF8E65E" w:rsidR="00B25703" w:rsidRDefault="00B25703" w:rsidP="00CA3F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-одного </w:t>
      </w:r>
      <w:r w:rsidR="000E2EE2" w:rsidRPr="00720762">
        <w:rPr>
          <w:rFonts w:ascii="Times New Roman" w:hAnsi="Times New Roman" w:cs="Times New Roman"/>
          <w:sz w:val="24"/>
          <w:szCs w:val="24"/>
          <w:lang w:val="ru-RU"/>
        </w:rPr>
        <w:t>Специалиста по заканчиванию скважин</w:t>
      </w:r>
      <w:r w:rsidRPr="00B257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с опытом работы не </w:t>
      </w:r>
      <w:r w:rsidRPr="00C83BA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менее 5 лет</w:t>
      </w:r>
      <w:r w:rsidRPr="00B25703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C83BA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наличием высшего технического образования по специальности Разработка нефтяных и газовых месторождений/или Нефтегазовое дело/или Бурение нефтяных и газовых скважин с квалификацией инженер/или горный инженер/или инженер-нефтяник (приложить электронные копии диплома о высшем техническом образовании, трудовой книжки).</w:t>
      </w:r>
    </w:p>
    <w:p w14:paraId="68AE8DAE" w14:textId="56AA80E9" w:rsidR="00CA3FDB" w:rsidRPr="00720762" w:rsidRDefault="00B25703" w:rsidP="00CA3F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-одного </w:t>
      </w:r>
      <w:r w:rsidR="000E2EE2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Специалиста по инструментам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с опытом работы не </w:t>
      </w:r>
      <w:r w:rsidRPr="00C83BA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менее 5 лет</w:t>
      </w:r>
      <w:r w:rsidRPr="00B25703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C83BA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наличием высшего технического образования по специальности Разработка нефтяных и газовых месторождений/или Нефтегазовое дело/или Бурение нефтяных и газовых скважин с квалификацией инженер/или горный инженер/или инженер-нефтяник (приложить электронные копии диплома о высшем техническом образовании, трудовой книжки).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44D4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Данный специалист/инженер 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должен иметь сертификат о прохождении курса Torque and Drag имеющим компетенцию производить расчеты осевой силы, возникающей между силой контакта колонной НКТ при ее движении и обсадной колонной. При этом учитывать эффекты: механические-натяжение-разгрузка, эффект поршневания, выпучивание под давлением, надувания и температуры (приложить копию сертификата о прохождении курса). А также должен иметь опыт выполнения работ по монтажу/демонтажу подземного клапана отсекателя со станцией управления клапаном отсекателя, установка пакера, циркуляционного клапана</w:t>
      </w:r>
      <w:r w:rsidR="00294ADB" w:rsidRPr="0072076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C0BEC9" w14:textId="77777777" w:rsidR="00C83BA8" w:rsidRDefault="00C83BA8" w:rsidP="00C83B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4FC">
        <w:rPr>
          <w:rFonts w:ascii="Times New Roman" w:hAnsi="Times New Roman" w:cs="Times New Roman"/>
          <w:sz w:val="24"/>
          <w:szCs w:val="24"/>
          <w:lang w:val="ru-RU"/>
        </w:rPr>
        <w:t>15. Договор будет заключен после утверждения бюджета.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5176A7" w14:textId="7926ACF0" w:rsidR="00441FB5" w:rsidRPr="00720762" w:rsidRDefault="00441FB5" w:rsidP="00441F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F94BF8" w14:textId="77777777" w:rsidR="00CE4C66" w:rsidRPr="00720762" w:rsidRDefault="00CE4C66" w:rsidP="00AC7F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E45ECE" w14:textId="6D3CAB4B" w:rsidR="003B40B1" w:rsidRPr="00720762" w:rsidRDefault="003B40B1" w:rsidP="00FE1C7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8" w:name="_Hlk219279377"/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Г</w:t>
      </w:r>
      <w:r w:rsidR="005C32D8"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лавный геолог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  <w:r w:rsidR="005C32D8"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F15EC77" w14:textId="77777777" w:rsidR="003B40B1" w:rsidRPr="00720762" w:rsidRDefault="003B40B1" w:rsidP="00FE1C7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ТОО «Урихтау Оперейтинг»                                                                                                </w:t>
      </w:r>
    </w:p>
    <w:p w14:paraId="571D4CCC" w14:textId="338CBC1E" w:rsidR="003B40B1" w:rsidRPr="00720762" w:rsidRDefault="003B40B1" w:rsidP="003B40B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_______________ </w:t>
      </w:r>
      <w:r w:rsidR="005C32D8"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Рахымберди Р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                        </w:t>
      </w:r>
      <w:r w:rsidR="005C32D8"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</w:p>
    <w:p w14:paraId="1A181776" w14:textId="607A5668" w:rsidR="003B40B1" w:rsidRPr="00E04D08" w:rsidRDefault="003B40B1" w:rsidP="003B40B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М.П.</w:t>
      </w:r>
      <w:bookmarkEnd w:id="8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14:paraId="2948CC2E" w14:textId="77777777" w:rsidR="00773511" w:rsidRPr="007C45A3" w:rsidRDefault="00773511" w:rsidP="003B40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511" w:rsidRPr="007C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91D"/>
    <w:multiLevelType w:val="hybridMultilevel"/>
    <w:tmpl w:val="ED380020"/>
    <w:lvl w:ilvl="0" w:tplc="7C845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629"/>
    <w:multiLevelType w:val="hybridMultilevel"/>
    <w:tmpl w:val="2252FCAC"/>
    <w:lvl w:ilvl="0" w:tplc="43CC4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2E8"/>
    <w:multiLevelType w:val="hybridMultilevel"/>
    <w:tmpl w:val="B9441D0E"/>
    <w:lvl w:ilvl="0" w:tplc="33547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5B3A"/>
    <w:multiLevelType w:val="hybridMultilevel"/>
    <w:tmpl w:val="735C1562"/>
    <w:lvl w:ilvl="0" w:tplc="26D8A1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F4FDC"/>
    <w:multiLevelType w:val="hybridMultilevel"/>
    <w:tmpl w:val="F0C690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2A7A"/>
    <w:multiLevelType w:val="hybridMultilevel"/>
    <w:tmpl w:val="03E4B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104F3"/>
    <w:multiLevelType w:val="hybridMultilevel"/>
    <w:tmpl w:val="480ECF32"/>
    <w:lvl w:ilvl="0" w:tplc="8A76481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EDB2221"/>
    <w:multiLevelType w:val="hybridMultilevel"/>
    <w:tmpl w:val="FD400C3E"/>
    <w:lvl w:ilvl="0" w:tplc="6E8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89426">
    <w:abstractNumId w:val="4"/>
  </w:num>
  <w:num w:numId="2" w16cid:durableId="356472953">
    <w:abstractNumId w:val="2"/>
  </w:num>
  <w:num w:numId="3" w16cid:durableId="623660149">
    <w:abstractNumId w:val="6"/>
  </w:num>
  <w:num w:numId="4" w16cid:durableId="1583759347">
    <w:abstractNumId w:val="0"/>
  </w:num>
  <w:num w:numId="5" w16cid:durableId="1298948951">
    <w:abstractNumId w:val="1"/>
  </w:num>
  <w:num w:numId="6" w16cid:durableId="900673923">
    <w:abstractNumId w:val="7"/>
  </w:num>
  <w:num w:numId="7" w16cid:durableId="1040087364">
    <w:abstractNumId w:val="5"/>
  </w:num>
  <w:num w:numId="8" w16cid:durableId="107959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78"/>
    <w:rsid w:val="0000505D"/>
    <w:rsid w:val="00020D50"/>
    <w:rsid w:val="000238B4"/>
    <w:rsid w:val="00023A20"/>
    <w:rsid w:val="00025AD2"/>
    <w:rsid w:val="00040D53"/>
    <w:rsid w:val="00046328"/>
    <w:rsid w:val="00061C79"/>
    <w:rsid w:val="00072447"/>
    <w:rsid w:val="00074A37"/>
    <w:rsid w:val="00091502"/>
    <w:rsid w:val="000A1F9F"/>
    <w:rsid w:val="000A7DA9"/>
    <w:rsid w:val="000C0A45"/>
    <w:rsid w:val="000D7D23"/>
    <w:rsid w:val="000E2EE2"/>
    <w:rsid w:val="000E4F6C"/>
    <w:rsid w:val="000F361E"/>
    <w:rsid w:val="000F6151"/>
    <w:rsid w:val="001006E9"/>
    <w:rsid w:val="001040AD"/>
    <w:rsid w:val="001068AB"/>
    <w:rsid w:val="00117A35"/>
    <w:rsid w:val="00122EC1"/>
    <w:rsid w:val="00147C5E"/>
    <w:rsid w:val="00151964"/>
    <w:rsid w:val="0016197E"/>
    <w:rsid w:val="00173615"/>
    <w:rsid w:val="00186B15"/>
    <w:rsid w:val="00195BA5"/>
    <w:rsid w:val="001C6D9F"/>
    <w:rsid w:val="001D0C75"/>
    <w:rsid w:val="00232C67"/>
    <w:rsid w:val="002340BC"/>
    <w:rsid w:val="002570A6"/>
    <w:rsid w:val="00267A9D"/>
    <w:rsid w:val="0028023B"/>
    <w:rsid w:val="00281515"/>
    <w:rsid w:val="00294ADB"/>
    <w:rsid w:val="002A1015"/>
    <w:rsid w:val="002A6F48"/>
    <w:rsid w:val="002B07BF"/>
    <w:rsid w:val="002B6551"/>
    <w:rsid w:val="002C3447"/>
    <w:rsid w:val="002D4D56"/>
    <w:rsid w:val="002D6FF2"/>
    <w:rsid w:val="002E1490"/>
    <w:rsid w:val="00315315"/>
    <w:rsid w:val="003244A7"/>
    <w:rsid w:val="0032660B"/>
    <w:rsid w:val="00327741"/>
    <w:rsid w:val="003423BB"/>
    <w:rsid w:val="00380BD0"/>
    <w:rsid w:val="0038279E"/>
    <w:rsid w:val="00387B71"/>
    <w:rsid w:val="003B40B1"/>
    <w:rsid w:val="003C0FAE"/>
    <w:rsid w:val="003C13E6"/>
    <w:rsid w:val="003C36BA"/>
    <w:rsid w:val="003D3957"/>
    <w:rsid w:val="003D742C"/>
    <w:rsid w:val="003E1B3C"/>
    <w:rsid w:val="00401A54"/>
    <w:rsid w:val="004126F6"/>
    <w:rsid w:val="0041544D"/>
    <w:rsid w:val="0041700B"/>
    <w:rsid w:val="00441FB5"/>
    <w:rsid w:val="00460F18"/>
    <w:rsid w:val="00490374"/>
    <w:rsid w:val="004D4D73"/>
    <w:rsid w:val="004F569E"/>
    <w:rsid w:val="00554F0F"/>
    <w:rsid w:val="0056074E"/>
    <w:rsid w:val="005924B7"/>
    <w:rsid w:val="005A44D4"/>
    <w:rsid w:val="005C007C"/>
    <w:rsid w:val="005C32D8"/>
    <w:rsid w:val="005F2976"/>
    <w:rsid w:val="0060203F"/>
    <w:rsid w:val="00623BE4"/>
    <w:rsid w:val="006253C9"/>
    <w:rsid w:val="0063234D"/>
    <w:rsid w:val="00651565"/>
    <w:rsid w:val="00651BB7"/>
    <w:rsid w:val="00666137"/>
    <w:rsid w:val="00694EAA"/>
    <w:rsid w:val="006B1674"/>
    <w:rsid w:val="006D27F9"/>
    <w:rsid w:val="006D7B1F"/>
    <w:rsid w:val="006F7FC7"/>
    <w:rsid w:val="00700757"/>
    <w:rsid w:val="00706EB9"/>
    <w:rsid w:val="00720762"/>
    <w:rsid w:val="00720765"/>
    <w:rsid w:val="00733C1C"/>
    <w:rsid w:val="00740F1F"/>
    <w:rsid w:val="00742BCB"/>
    <w:rsid w:val="00747737"/>
    <w:rsid w:val="00773511"/>
    <w:rsid w:val="00797A95"/>
    <w:rsid w:val="007A055B"/>
    <w:rsid w:val="007A54A4"/>
    <w:rsid w:val="007C45A3"/>
    <w:rsid w:val="007C5DDB"/>
    <w:rsid w:val="007D37DA"/>
    <w:rsid w:val="007E5F85"/>
    <w:rsid w:val="007F09B0"/>
    <w:rsid w:val="007F4EDC"/>
    <w:rsid w:val="00822AB2"/>
    <w:rsid w:val="00833948"/>
    <w:rsid w:val="00834A2B"/>
    <w:rsid w:val="00851C65"/>
    <w:rsid w:val="0085447F"/>
    <w:rsid w:val="00855543"/>
    <w:rsid w:val="008560A3"/>
    <w:rsid w:val="00861161"/>
    <w:rsid w:val="00871F3E"/>
    <w:rsid w:val="0087589B"/>
    <w:rsid w:val="00884F35"/>
    <w:rsid w:val="00895EB4"/>
    <w:rsid w:val="008D759F"/>
    <w:rsid w:val="008E0A3B"/>
    <w:rsid w:val="008E2BD2"/>
    <w:rsid w:val="008F137D"/>
    <w:rsid w:val="00911D59"/>
    <w:rsid w:val="0091241C"/>
    <w:rsid w:val="00925AA1"/>
    <w:rsid w:val="009348ED"/>
    <w:rsid w:val="00935720"/>
    <w:rsid w:val="00935C7C"/>
    <w:rsid w:val="00960C03"/>
    <w:rsid w:val="00965ED2"/>
    <w:rsid w:val="00972233"/>
    <w:rsid w:val="009B53FA"/>
    <w:rsid w:val="009C39EA"/>
    <w:rsid w:val="009D0B45"/>
    <w:rsid w:val="009E061A"/>
    <w:rsid w:val="009F7EFC"/>
    <w:rsid w:val="00A03895"/>
    <w:rsid w:val="00A234BB"/>
    <w:rsid w:val="00A32905"/>
    <w:rsid w:val="00A36315"/>
    <w:rsid w:val="00A37414"/>
    <w:rsid w:val="00A54460"/>
    <w:rsid w:val="00A651BA"/>
    <w:rsid w:val="00A72239"/>
    <w:rsid w:val="00A73ACB"/>
    <w:rsid w:val="00A800E2"/>
    <w:rsid w:val="00A828AF"/>
    <w:rsid w:val="00A90FB2"/>
    <w:rsid w:val="00AB1F62"/>
    <w:rsid w:val="00AB6DF3"/>
    <w:rsid w:val="00AB7050"/>
    <w:rsid w:val="00AC7FED"/>
    <w:rsid w:val="00AD58EA"/>
    <w:rsid w:val="00AE5E6E"/>
    <w:rsid w:val="00AE764A"/>
    <w:rsid w:val="00B001DE"/>
    <w:rsid w:val="00B25703"/>
    <w:rsid w:val="00B4414D"/>
    <w:rsid w:val="00B555AD"/>
    <w:rsid w:val="00B65DF0"/>
    <w:rsid w:val="00B74CB9"/>
    <w:rsid w:val="00B94022"/>
    <w:rsid w:val="00BA2D7E"/>
    <w:rsid w:val="00BC138A"/>
    <w:rsid w:val="00BC5CE0"/>
    <w:rsid w:val="00BD61C6"/>
    <w:rsid w:val="00BE0941"/>
    <w:rsid w:val="00BF25D2"/>
    <w:rsid w:val="00BF29F8"/>
    <w:rsid w:val="00C072D6"/>
    <w:rsid w:val="00C23994"/>
    <w:rsid w:val="00C27394"/>
    <w:rsid w:val="00C37F44"/>
    <w:rsid w:val="00C40106"/>
    <w:rsid w:val="00C437EC"/>
    <w:rsid w:val="00C57198"/>
    <w:rsid w:val="00C64B69"/>
    <w:rsid w:val="00C72B38"/>
    <w:rsid w:val="00C83BA8"/>
    <w:rsid w:val="00C85ECB"/>
    <w:rsid w:val="00C95265"/>
    <w:rsid w:val="00C9637E"/>
    <w:rsid w:val="00CA3700"/>
    <w:rsid w:val="00CA3FDB"/>
    <w:rsid w:val="00CB25FD"/>
    <w:rsid w:val="00CC1915"/>
    <w:rsid w:val="00CC1E7F"/>
    <w:rsid w:val="00CE4C66"/>
    <w:rsid w:val="00CF05B1"/>
    <w:rsid w:val="00D1030B"/>
    <w:rsid w:val="00D6606D"/>
    <w:rsid w:val="00D723B9"/>
    <w:rsid w:val="00D8147C"/>
    <w:rsid w:val="00D85E4D"/>
    <w:rsid w:val="00D874D3"/>
    <w:rsid w:val="00D8795C"/>
    <w:rsid w:val="00DB7D24"/>
    <w:rsid w:val="00DC6BF2"/>
    <w:rsid w:val="00DD026B"/>
    <w:rsid w:val="00DD0B6B"/>
    <w:rsid w:val="00DD3250"/>
    <w:rsid w:val="00DD74E7"/>
    <w:rsid w:val="00DE0F8C"/>
    <w:rsid w:val="00DF32CA"/>
    <w:rsid w:val="00E10950"/>
    <w:rsid w:val="00E65006"/>
    <w:rsid w:val="00E65ADB"/>
    <w:rsid w:val="00E67D17"/>
    <w:rsid w:val="00E937D3"/>
    <w:rsid w:val="00EA5C0B"/>
    <w:rsid w:val="00EF45B3"/>
    <w:rsid w:val="00F014A0"/>
    <w:rsid w:val="00F13055"/>
    <w:rsid w:val="00F21E5D"/>
    <w:rsid w:val="00F57AFE"/>
    <w:rsid w:val="00F6054E"/>
    <w:rsid w:val="00F634FC"/>
    <w:rsid w:val="00F70ACB"/>
    <w:rsid w:val="00F83463"/>
    <w:rsid w:val="00F96278"/>
    <w:rsid w:val="00F965C0"/>
    <w:rsid w:val="00F96BB6"/>
    <w:rsid w:val="00FA27E0"/>
    <w:rsid w:val="00FA76E7"/>
    <w:rsid w:val="00FB52A2"/>
    <w:rsid w:val="00FE1C7E"/>
    <w:rsid w:val="00FE1E68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ED7E"/>
  <w15:chartTrackingRefBased/>
  <w15:docId w15:val="{DDB614E2-3095-4795-B620-AFD9B81E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C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table" w:styleId="a5">
    <w:name w:val="Table Grid"/>
    <w:basedOn w:val="a1"/>
    <w:uiPriority w:val="39"/>
    <w:rsid w:val="009B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D4D7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D4D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D4D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4D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4D7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874D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7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23B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83394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34F99-C5D1-44C2-9D0D-EA0D51B47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FC8AB-9C11-4939-9310-37B5C8302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092C4-6AD8-41A8-B72A-6718EEA4812D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4.xml><?xml version="1.0" encoding="utf-8"?>
<ds:datastoreItem xmlns:ds="http://schemas.openxmlformats.org/officeDocument/2006/customXml" ds:itemID="{C3486B3F-44BC-435A-8890-BADD5C63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11</Pages>
  <Words>4329</Words>
  <Characters>24681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Копжасар Асылмурат Нурланович</cp:lastModifiedBy>
  <cp:revision>31</cp:revision>
  <dcterms:created xsi:type="dcterms:W3CDTF">2025-01-20T07:10:00Z</dcterms:created>
  <dcterms:modified xsi:type="dcterms:W3CDTF">2026-02-02T14:04:00Z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