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57405EC" w:rsidR="00466128" w:rsidRPr="00AE00AD" w:rsidRDefault="00466128" w:rsidP="00350F87">
      <w:pPr>
        <w:spacing w:after="0" w:line="259" w:lineRule="auto"/>
        <w:ind w:right="57" w:firstLine="0"/>
        <w:jc w:val="center"/>
        <w:rPr>
          <w:b/>
          <w:bCs/>
          <w:sz w:val="24"/>
        </w:rPr>
      </w:pPr>
      <w:r w:rsidRPr="00AE00AD">
        <w:rPr>
          <w:b/>
          <w:bCs/>
          <w:sz w:val="24"/>
        </w:rPr>
        <w:t xml:space="preserve">Тендерная документация по закупке способом открытого тендера </w:t>
      </w:r>
      <w:r w:rsidR="00AA7200">
        <w:rPr>
          <w:b/>
          <w:bCs/>
          <w:sz w:val="24"/>
        </w:rPr>
        <w:t>№94</w:t>
      </w:r>
    </w:p>
    <w:p w14:paraId="2F7D4406" w14:textId="77777777" w:rsidR="00466128" w:rsidRPr="00AE00AD" w:rsidRDefault="00466128" w:rsidP="00350F87">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Заказчик </w:t>
      </w:r>
      <w:r w:rsidRPr="00AE00AD">
        <w:rPr>
          <w:b/>
          <w:sz w:val="24"/>
        </w:rPr>
        <w:t>Товарищество с ограниченной ответственностью "Урихтау Оперейтинг"</w:t>
      </w:r>
      <w:r w:rsidR="000B6541" w:rsidRPr="00AE00AD">
        <w:rPr>
          <w:b/>
          <w:sz w:val="24"/>
        </w:rPr>
        <w:t>.</w:t>
      </w:r>
    </w:p>
    <w:p w14:paraId="0B65A4C1" w14:textId="7D31D518" w:rsidR="00466128" w:rsidRPr="00AE00AD" w:rsidRDefault="00466128" w:rsidP="00350F87">
      <w:pPr>
        <w:spacing w:after="0" w:line="259" w:lineRule="auto"/>
        <w:ind w:right="57" w:firstLine="0"/>
        <w:rPr>
          <w:sz w:val="24"/>
        </w:rPr>
      </w:pPr>
      <w:r w:rsidRPr="00AE00AD">
        <w:rPr>
          <w:sz w:val="24"/>
        </w:rPr>
        <w:t xml:space="preserve">Организатор </w:t>
      </w:r>
      <w:r w:rsidRPr="00AE00AD">
        <w:rPr>
          <w:b/>
          <w:sz w:val="24"/>
        </w:rPr>
        <w:t>Товарищество с ограниченной ответственностью "Урихтау Оперейтинг"</w:t>
      </w:r>
      <w:r w:rsidR="000B6541" w:rsidRPr="00AE00AD">
        <w:rPr>
          <w:b/>
          <w:sz w:val="24"/>
        </w:rPr>
        <w:t>.</w:t>
      </w:r>
    </w:p>
    <w:p w14:paraId="556E29EC" w14:textId="77777777" w:rsidR="00466128" w:rsidRPr="00AE00AD" w:rsidRDefault="00466128" w:rsidP="00350F87">
      <w:pPr>
        <w:spacing w:after="0" w:line="259" w:lineRule="auto"/>
        <w:ind w:right="57" w:firstLine="0"/>
        <w:rPr>
          <w:sz w:val="24"/>
        </w:rPr>
      </w:pPr>
      <w:r w:rsidRPr="00AE00AD">
        <w:rPr>
          <w:sz w:val="24"/>
        </w:rPr>
        <w:t>Адрес: КАЗАХСТАН Актюбинская область ул. пр.Тауелсиздик 7 В, 4- этаж.</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 </w:t>
      </w:r>
      <w:r w:rsidRPr="00AE00AD">
        <w:rPr>
          <w:b/>
          <w:sz w:val="24"/>
        </w:rPr>
        <w:t xml:space="preserve">+7 (7132) </w:t>
      </w:r>
      <w:proofErr w:type="gramStart"/>
      <w:r w:rsidRPr="00AE00AD">
        <w:rPr>
          <w:b/>
          <w:sz w:val="24"/>
        </w:rPr>
        <w:t>744-134</w:t>
      </w:r>
      <w:proofErr w:type="gramEnd"/>
      <w:r w:rsidRPr="00AE00AD">
        <w:rPr>
          <w:b/>
          <w:sz w:val="24"/>
        </w:rPr>
        <w:t xml:space="preserve">, +7 (7132) </w:t>
      </w:r>
      <w:proofErr w:type="gramStart"/>
      <w:r w:rsidRPr="00AE00AD">
        <w:rPr>
          <w:b/>
          <w:sz w:val="24"/>
        </w:rPr>
        <w:t>744-181</w:t>
      </w:r>
      <w:proofErr w:type="gramEnd"/>
      <w:r w:rsidRPr="00AE00AD">
        <w:rPr>
          <w:b/>
          <w:sz w:val="24"/>
        </w:rPr>
        <w:t xml:space="preserve">, +7 (7132) </w:t>
      </w:r>
      <w:proofErr w:type="gramStart"/>
      <w:r w:rsidRPr="00AE00AD">
        <w:rPr>
          <w:b/>
          <w:sz w:val="24"/>
        </w:rPr>
        <w:t>744-149</w:t>
      </w:r>
      <w:proofErr w:type="gramEnd"/>
      <w:r w:rsidR="000B6541" w:rsidRPr="00AE00AD">
        <w:rPr>
          <w:b/>
          <w:sz w:val="24"/>
        </w:rPr>
        <w:t>.</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Электронная почта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Банковские реквизиты: </w:t>
      </w:r>
    </w:p>
    <w:p w14:paraId="588880C9" w14:textId="77777777" w:rsidR="00AF27D7" w:rsidRDefault="00466128" w:rsidP="00350F87">
      <w:pPr>
        <w:spacing w:after="0" w:line="259" w:lineRule="auto"/>
        <w:ind w:right="57" w:firstLine="0"/>
        <w:rPr>
          <w:sz w:val="24"/>
        </w:rPr>
      </w:pPr>
      <w:r w:rsidRPr="00AE00AD">
        <w:rPr>
          <w:sz w:val="24"/>
        </w:rPr>
        <w:t xml:space="preserve">Товарищество с ограниченной ответственностью "Урихтау Оперейтинг", </w:t>
      </w:r>
    </w:p>
    <w:p w14:paraId="267128A3" w14:textId="77777777" w:rsidR="00AF27D7" w:rsidRDefault="00466128" w:rsidP="00350F87">
      <w:pPr>
        <w:spacing w:after="0" w:line="259" w:lineRule="auto"/>
        <w:ind w:right="57" w:firstLine="0"/>
        <w:rPr>
          <w:sz w:val="24"/>
        </w:rPr>
      </w:pPr>
      <w:r w:rsidRPr="00AE00AD">
        <w:rPr>
          <w:sz w:val="24"/>
        </w:rPr>
        <w:t xml:space="preserve">БИН 091040003677, </w:t>
      </w:r>
    </w:p>
    <w:p w14:paraId="0D3CEF09" w14:textId="77777777" w:rsidR="00AF27D7" w:rsidRDefault="00466128" w:rsidP="00350F87">
      <w:pPr>
        <w:spacing w:after="0" w:line="259" w:lineRule="auto"/>
        <w:ind w:right="57" w:firstLine="0"/>
        <w:rPr>
          <w:sz w:val="24"/>
        </w:rPr>
      </w:pPr>
      <w:r w:rsidRPr="00AE00AD">
        <w:rPr>
          <w:sz w:val="24"/>
        </w:rPr>
        <w:t xml:space="preserve">ИИК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АО “Народный Банк Казахстана”, БИК HSBKKZKX</w:t>
      </w:r>
    </w:p>
    <w:p w14:paraId="4561A760" w14:textId="0B9460BE" w:rsidR="00466128" w:rsidRPr="00AE00AD" w:rsidRDefault="00466128" w:rsidP="00350F87">
      <w:pPr>
        <w:spacing w:after="0" w:line="259" w:lineRule="auto"/>
        <w:ind w:right="57" w:firstLine="0"/>
        <w:rPr>
          <w:sz w:val="24"/>
        </w:rPr>
      </w:pPr>
      <w:r w:rsidRPr="00AE00AD">
        <w:rPr>
          <w:sz w:val="24"/>
        </w:rPr>
        <w:t>Настоящие закупки способом «Открытый тендер» проводятся веб-</w:t>
      </w:r>
      <w:r w:rsidR="007E167C">
        <w:rPr>
          <w:sz w:val="24"/>
        </w:rPr>
        <w:t>сайте</w:t>
      </w:r>
      <w:r w:rsidRPr="00AE00AD">
        <w:rPr>
          <w:sz w:val="24"/>
        </w:rPr>
        <w:t xml:space="preserve"> ТОО «Урихтау Оперейтинг»: </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Электронным адресом веб-</w:t>
      </w:r>
      <w:r w:rsidR="007E167C">
        <w:rPr>
          <w:sz w:val="24"/>
        </w:rPr>
        <w:t>сайте</w:t>
      </w:r>
      <w:r w:rsidRPr="00AE00AD">
        <w:rPr>
          <w:sz w:val="24"/>
        </w:rPr>
        <w:t xml:space="preserve">, на котором размещается информация, подлежащая опубликованию, является </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Перечень закупаемых ТРУ:</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34"/>
        <w:gridCol w:w="893"/>
        <w:gridCol w:w="1618"/>
        <w:gridCol w:w="1382"/>
        <w:gridCol w:w="2711"/>
        <w:gridCol w:w="1313"/>
        <w:gridCol w:w="1254"/>
        <w:gridCol w:w="1181"/>
        <w:gridCol w:w="1576"/>
      </w:tblGrid>
      <w:tr w:rsidR="00350F87" w:rsidRPr="00B14CD0" w14:paraId="265BFB1F" w14:textId="77777777" w:rsidTr="00B14CD0">
        <w:trPr>
          <w:trHeight w:val="632"/>
        </w:trPr>
        <w:tc>
          <w:tcPr>
            <w:tcW w:w="657" w:type="pct"/>
            <w:tcBorders>
              <w:top w:val="single" w:sz="4" w:space="0" w:color="auto"/>
              <w:left w:val="single" w:sz="4" w:space="0" w:color="auto"/>
              <w:bottom w:val="single" w:sz="6" w:space="0" w:color="000000"/>
              <w:right w:val="single" w:sz="5" w:space="0" w:color="000000"/>
            </w:tcBorders>
          </w:tcPr>
          <w:p w14:paraId="40810337" w14:textId="77777777" w:rsidR="00466128" w:rsidRPr="00B14CD0" w:rsidRDefault="00466128" w:rsidP="00350F87">
            <w:pPr>
              <w:spacing w:after="0" w:line="259" w:lineRule="auto"/>
              <w:ind w:right="57" w:firstLine="0"/>
              <w:rPr>
                <w:b/>
                <w:sz w:val="22"/>
                <w:szCs w:val="22"/>
              </w:rPr>
            </w:pPr>
          </w:p>
          <w:p w14:paraId="306538B6" w14:textId="77777777" w:rsidR="00466128" w:rsidRPr="00B14CD0" w:rsidRDefault="00466128" w:rsidP="00350F87">
            <w:pPr>
              <w:spacing w:after="0"/>
              <w:ind w:right="57" w:firstLine="0"/>
              <w:rPr>
                <w:b/>
                <w:bCs/>
                <w:sz w:val="22"/>
                <w:szCs w:val="22"/>
              </w:rPr>
            </w:pPr>
            <w:r w:rsidRPr="00B14CD0">
              <w:rPr>
                <w:b/>
                <w:bCs/>
                <w:sz w:val="22"/>
                <w:szCs w:val="22"/>
              </w:rPr>
              <w:t>Номер контракта на недропользование</w:t>
            </w:r>
          </w:p>
        </w:tc>
        <w:tc>
          <w:tcPr>
            <w:tcW w:w="358" w:type="pct"/>
            <w:tcBorders>
              <w:top w:val="single" w:sz="4" w:space="0" w:color="auto"/>
              <w:left w:val="nil"/>
              <w:bottom w:val="single" w:sz="6" w:space="0" w:color="000000"/>
              <w:right w:val="single" w:sz="5" w:space="0" w:color="000000"/>
            </w:tcBorders>
            <w:vAlign w:val="center"/>
          </w:tcPr>
          <w:p w14:paraId="363D6EE4" w14:textId="77777777" w:rsidR="00466128" w:rsidRPr="00B14CD0" w:rsidRDefault="00466128" w:rsidP="00350F87">
            <w:pPr>
              <w:spacing w:after="0" w:line="259" w:lineRule="auto"/>
              <w:ind w:right="57" w:firstLine="0"/>
              <w:rPr>
                <w:b/>
                <w:bCs/>
                <w:sz w:val="22"/>
                <w:szCs w:val="22"/>
              </w:rPr>
            </w:pPr>
            <w:r w:rsidRPr="00B14CD0">
              <w:rPr>
                <w:b/>
                <w:bCs/>
                <w:sz w:val="22"/>
                <w:szCs w:val="22"/>
              </w:rPr>
              <w:t>Код предмета закупки</w:t>
            </w:r>
          </w:p>
        </w:tc>
        <w:tc>
          <w:tcPr>
            <w:tcW w:w="651" w:type="pct"/>
            <w:tcBorders>
              <w:top w:val="single" w:sz="4" w:space="0" w:color="auto"/>
              <w:left w:val="single" w:sz="5" w:space="0" w:color="000000"/>
              <w:bottom w:val="single" w:sz="6" w:space="0" w:color="000000"/>
              <w:right w:val="single" w:sz="5" w:space="0" w:color="000000"/>
            </w:tcBorders>
            <w:vAlign w:val="center"/>
          </w:tcPr>
          <w:p w14:paraId="6DD3F352" w14:textId="77777777" w:rsidR="00466128" w:rsidRPr="00B14CD0" w:rsidRDefault="00466128" w:rsidP="00350F87">
            <w:pPr>
              <w:spacing w:after="0" w:line="259" w:lineRule="auto"/>
              <w:ind w:right="57" w:firstLine="0"/>
              <w:rPr>
                <w:sz w:val="22"/>
                <w:szCs w:val="22"/>
              </w:rPr>
            </w:pPr>
            <w:r w:rsidRPr="00B14CD0">
              <w:rPr>
                <w:b/>
                <w:sz w:val="22"/>
                <w:szCs w:val="22"/>
              </w:rPr>
              <w:t>Код товаров, работ или услуг по Единому номенклатурному справочнику товаров, работ и услуг</w:t>
            </w:r>
          </w:p>
        </w:tc>
        <w:tc>
          <w:tcPr>
            <w:tcW w:w="556" w:type="pct"/>
            <w:tcBorders>
              <w:top w:val="single" w:sz="4" w:space="0" w:color="auto"/>
              <w:left w:val="single" w:sz="5" w:space="0" w:color="000000"/>
              <w:bottom w:val="single" w:sz="6" w:space="0" w:color="000000"/>
              <w:right w:val="single" w:sz="5" w:space="0" w:color="000000"/>
            </w:tcBorders>
          </w:tcPr>
          <w:p w14:paraId="772A9077" w14:textId="77777777" w:rsidR="00466128" w:rsidRPr="00B14CD0" w:rsidRDefault="00466128" w:rsidP="00350F87">
            <w:pPr>
              <w:spacing w:after="0" w:line="259" w:lineRule="auto"/>
              <w:ind w:right="57" w:firstLine="0"/>
              <w:rPr>
                <w:b/>
                <w:sz w:val="22"/>
                <w:szCs w:val="22"/>
              </w:rPr>
            </w:pPr>
            <w:r w:rsidRPr="00B14CD0">
              <w:rPr>
                <w:b/>
                <w:sz w:val="22"/>
                <w:szCs w:val="22"/>
              </w:rPr>
              <w:t>Наименование закупаемых товаров, работ и услуг</w:t>
            </w:r>
          </w:p>
        </w:tc>
        <w:tc>
          <w:tcPr>
            <w:tcW w:w="640" w:type="pct"/>
            <w:tcBorders>
              <w:top w:val="single" w:sz="4" w:space="0" w:color="auto"/>
              <w:left w:val="single" w:sz="5" w:space="0" w:color="000000"/>
              <w:bottom w:val="single" w:sz="6" w:space="0" w:color="000000"/>
              <w:right w:val="single" w:sz="5" w:space="0" w:color="000000"/>
            </w:tcBorders>
          </w:tcPr>
          <w:p w14:paraId="36F512DA" w14:textId="77777777" w:rsidR="00466128" w:rsidRPr="00B14CD0" w:rsidRDefault="00466128" w:rsidP="00350F87">
            <w:pPr>
              <w:spacing w:after="0" w:line="259" w:lineRule="auto"/>
              <w:ind w:right="57" w:firstLine="0"/>
              <w:rPr>
                <w:sz w:val="22"/>
                <w:szCs w:val="22"/>
              </w:rPr>
            </w:pPr>
            <w:r w:rsidRPr="00B14CD0">
              <w:rPr>
                <w:b/>
                <w:sz w:val="22"/>
                <w:szCs w:val="22"/>
              </w:rPr>
              <w:t>Наименование и краткое (дополнительное) описание приобретаемых товаров, работ и услуг</w:t>
            </w:r>
          </w:p>
        </w:tc>
        <w:tc>
          <w:tcPr>
            <w:tcW w:w="528" w:type="pct"/>
            <w:tcBorders>
              <w:top w:val="single" w:sz="4" w:space="0" w:color="auto"/>
              <w:left w:val="single" w:sz="5" w:space="0" w:color="000000"/>
              <w:bottom w:val="single" w:sz="6" w:space="0" w:color="000000"/>
              <w:right w:val="single" w:sz="5" w:space="0" w:color="000000"/>
            </w:tcBorders>
          </w:tcPr>
          <w:p w14:paraId="72E10524" w14:textId="77777777" w:rsidR="00466128" w:rsidRPr="00B14CD0" w:rsidRDefault="00466128" w:rsidP="00350F87">
            <w:pPr>
              <w:spacing w:after="0" w:line="259" w:lineRule="auto"/>
              <w:ind w:right="57" w:firstLine="0"/>
              <w:rPr>
                <w:sz w:val="22"/>
                <w:szCs w:val="22"/>
              </w:rPr>
            </w:pPr>
            <w:r w:rsidRPr="00B14CD0">
              <w:rPr>
                <w:b/>
                <w:sz w:val="22"/>
                <w:szCs w:val="22"/>
              </w:rPr>
              <w:t>Планируемый объем закупа в натуральном выражении</w:t>
            </w:r>
          </w:p>
        </w:tc>
        <w:tc>
          <w:tcPr>
            <w:tcW w:w="504" w:type="pct"/>
            <w:tcBorders>
              <w:top w:val="single" w:sz="4" w:space="0" w:color="auto"/>
              <w:left w:val="single" w:sz="5" w:space="0" w:color="000000"/>
              <w:bottom w:val="single" w:sz="6" w:space="0" w:color="000000"/>
              <w:right w:val="single" w:sz="5" w:space="0" w:color="000000"/>
            </w:tcBorders>
          </w:tcPr>
          <w:p w14:paraId="3D8F2F03" w14:textId="77777777" w:rsidR="00466128" w:rsidRPr="00B14CD0" w:rsidRDefault="00466128" w:rsidP="00350F87">
            <w:pPr>
              <w:spacing w:after="0" w:line="259" w:lineRule="auto"/>
              <w:ind w:right="57" w:firstLine="0"/>
              <w:rPr>
                <w:sz w:val="22"/>
                <w:szCs w:val="22"/>
              </w:rPr>
            </w:pPr>
            <w:r w:rsidRPr="00B14CD0">
              <w:rPr>
                <w:b/>
                <w:sz w:val="22"/>
                <w:szCs w:val="22"/>
              </w:rPr>
              <w:t>Планируемая сумма закупа без учета налога на добавленную стоимость, тенге</w:t>
            </w:r>
          </w:p>
        </w:tc>
        <w:tc>
          <w:tcPr>
            <w:tcW w:w="474" w:type="pct"/>
            <w:tcBorders>
              <w:top w:val="single" w:sz="4" w:space="0" w:color="auto"/>
              <w:left w:val="single" w:sz="5" w:space="0" w:color="000000"/>
              <w:bottom w:val="single" w:sz="6" w:space="0" w:color="000000"/>
              <w:right w:val="single" w:sz="5" w:space="0" w:color="000000"/>
            </w:tcBorders>
          </w:tcPr>
          <w:p w14:paraId="390B6686" w14:textId="77777777" w:rsidR="00466128" w:rsidRPr="00B14CD0" w:rsidRDefault="00466128" w:rsidP="00350F87">
            <w:pPr>
              <w:spacing w:after="0" w:line="259" w:lineRule="auto"/>
              <w:ind w:right="57" w:firstLine="0"/>
              <w:rPr>
                <w:b/>
                <w:sz w:val="22"/>
                <w:szCs w:val="22"/>
              </w:rPr>
            </w:pPr>
            <w:r w:rsidRPr="00B14CD0">
              <w:rPr>
                <w:b/>
                <w:sz w:val="22"/>
                <w:szCs w:val="22"/>
              </w:rPr>
              <w:t>Обеспечение тендерной заявки</w:t>
            </w:r>
          </w:p>
        </w:tc>
        <w:tc>
          <w:tcPr>
            <w:tcW w:w="634" w:type="pct"/>
            <w:tcBorders>
              <w:top w:val="single" w:sz="4" w:space="0" w:color="auto"/>
              <w:left w:val="single" w:sz="5" w:space="0" w:color="000000"/>
              <w:bottom w:val="single" w:sz="6" w:space="0" w:color="000000"/>
              <w:right w:val="single" w:sz="4" w:space="0" w:color="auto"/>
            </w:tcBorders>
          </w:tcPr>
          <w:p w14:paraId="0568F3C2" w14:textId="77777777" w:rsidR="00466128" w:rsidRPr="00B14CD0" w:rsidRDefault="00466128" w:rsidP="00350F87">
            <w:pPr>
              <w:spacing w:after="0" w:line="259" w:lineRule="auto"/>
              <w:ind w:right="57" w:firstLine="0"/>
              <w:rPr>
                <w:b/>
                <w:sz w:val="22"/>
                <w:szCs w:val="22"/>
              </w:rPr>
            </w:pPr>
            <w:commentRangeStart w:id="0"/>
            <w:r w:rsidRPr="00B14CD0">
              <w:rPr>
                <w:b/>
                <w:sz w:val="22"/>
                <w:szCs w:val="22"/>
              </w:rPr>
              <w:t>Прогнозная доля внутристрановой ценности по работам и услугам</w:t>
            </w:r>
            <w:commentRangeEnd w:id="0"/>
            <w:r w:rsidR="000B6541" w:rsidRPr="00B14CD0">
              <w:rPr>
                <w:rStyle w:val="ae"/>
                <w:b/>
                <w:sz w:val="22"/>
                <w:szCs w:val="22"/>
              </w:rPr>
              <w:commentReference w:id="0"/>
            </w:r>
          </w:p>
        </w:tc>
      </w:tr>
      <w:tr w:rsidR="006244B8" w:rsidRPr="00B14CD0" w14:paraId="1566318D" w14:textId="77777777" w:rsidTr="00B14CD0">
        <w:trPr>
          <w:trHeight w:val="403"/>
        </w:trPr>
        <w:tc>
          <w:tcPr>
            <w:tcW w:w="657" w:type="pct"/>
            <w:tcBorders>
              <w:top w:val="single" w:sz="6" w:space="0" w:color="000000"/>
              <w:left w:val="single" w:sz="4" w:space="0" w:color="auto"/>
              <w:bottom w:val="single" w:sz="6" w:space="0" w:color="000000"/>
              <w:right w:val="single" w:sz="2" w:space="0" w:color="000000"/>
            </w:tcBorders>
            <w:vAlign w:val="center"/>
          </w:tcPr>
          <w:p w14:paraId="31BD9D18" w14:textId="075C81AC" w:rsidR="006244B8" w:rsidRPr="00B14CD0" w:rsidRDefault="006244B8" w:rsidP="006244B8">
            <w:pPr>
              <w:spacing w:after="0" w:line="259" w:lineRule="auto"/>
              <w:ind w:right="57" w:firstLine="0"/>
              <w:rPr>
                <w:sz w:val="22"/>
                <w:szCs w:val="22"/>
              </w:rPr>
            </w:pPr>
            <w:r w:rsidRPr="00B14CD0">
              <w:rPr>
                <w:sz w:val="22"/>
                <w:szCs w:val="22"/>
              </w:rPr>
              <w:t>5224</w:t>
            </w:r>
          </w:p>
        </w:tc>
        <w:tc>
          <w:tcPr>
            <w:tcW w:w="358" w:type="pct"/>
            <w:tcBorders>
              <w:top w:val="single" w:sz="6" w:space="0" w:color="000000"/>
              <w:left w:val="nil"/>
              <w:bottom w:val="single" w:sz="6" w:space="0" w:color="000000"/>
              <w:right w:val="single" w:sz="2" w:space="0" w:color="000000"/>
            </w:tcBorders>
            <w:vAlign w:val="center"/>
          </w:tcPr>
          <w:p w14:paraId="52406A79" w14:textId="7A448E22" w:rsidR="006244B8" w:rsidRPr="00B14CD0" w:rsidRDefault="006244B8" w:rsidP="006244B8">
            <w:pPr>
              <w:spacing w:after="0" w:line="259" w:lineRule="auto"/>
              <w:ind w:right="57" w:firstLine="0"/>
              <w:rPr>
                <w:sz w:val="22"/>
                <w:szCs w:val="22"/>
              </w:rPr>
            </w:pPr>
            <w:r w:rsidRPr="006244B8">
              <w:rPr>
                <w:sz w:val="22"/>
                <w:szCs w:val="22"/>
              </w:rPr>
              <w:t>1 Т</w:t>
            </w:r>
          </w:p>
        </w:tc>
        <w:tc>
          <w:tcPr>
            <w:tcW w:w="651" w:type="pct"/>
            <w:tcBorders>
              <w:top w:val="single" w:sz="6" w:space="0" w:color="000000"/>
              <w:left w:val="single" w:sz="2" w:space="0" w:color="000000"/>
              <w:bottom w:val="single" w:sz="6" w:space="0" w:color="000000"/>
              <w:right w:val="single" w:sz="5" w:space="0" w:color="000000"/>
            </w:tcBorders>
            <w:vAlign w:val="center"/>
          </w:tcPr>
          <w:p w14:paraId="0C418C1C" w14:textId="2D5BE171" w:rsidR="006244B8" w:rsidRPr="00B14CD0" w:rsidRDefault="006244B8" w:rsidP="006244B8">
            <w:pPr>
              <w:spacing w:after="0" w:line="259" w:lineRule="auto"/>
              <w:ind w:right="57" w:firstLine="0"/>
              <w:rPr>
                <w:sz w:val="22"/>
                <w:szCs w:val="22"/>
              </w:rPr>
            </w:pPr>
            <w:r w:rsidRPr="006244B8">
              <w:rPr>
                <w:sz w:val="22"/>
                <w:szCs w:val="22"/>
              </w:rPr>
              <w:t>289261.300.000149</w:t>
            </w:r>
          </w:p>
        </w:tc>
        <w:tc>
          <w:tcPr>
            <w:tcW w:w="556" w:type="pct"/>
            <w:tcBorders>
              <w:top w:val="single" w:sz="6" w:space="0" w:color="000000"/>
              <w:left w:val="single" w:sz="5" w:space="0" w:color="000000"/>
              <w:bottom w:val="single" w:sz="6" w:space="0" w:color="000000"/>
              <w:right w:val="single" w:sz="5" w:space="0" w:color="000000"/>
            </w:tcBorders>
            <w:vAlign w:val="center"/>
          </w:tcPr>
          <w:p w14:paraId="49A8D414" w14:textId="2D6521E1" w:rsidR="006244B8" w:rsidRPr="00B14CD0" w:rsidRDefault="006244B8" w:rsidP="006244B8">
            <w:pPr>
              <w:spacing w:after="0" w:line="259" w:lineRule="auto"/>
              <w:ind w:right="57" w:firstLine="0"/>
              <w:rPr>
                <w:sz w:val="22"/>
                <w:szCs w:val="22"/>
              </w:rPr>
            </w:pPr>
            <w:r w:rsidRPr="006244B8">
              <w:rPr>
                <w:sz w:val="22"/>
                <w:szCs w:val="22"/>
              </w:rPr>
              <w:t>Пакер гидравлический</w:t>
            </w:r>
          </w:p>
        </w:tc>
        <w:tc>
          <w:tcPr>
            <w:tcW w:w="640" w:type="pct"/>
            <w:tcBorders>
              <w:top w:val="single" w:sz="6" w:space="0" w:color="000000"/>
              <w:left w:val="single" w:sz="5" w:space="0" w:color="000000"/>
              <w:bottom w:val="single" w:sz="6" w:space="0" w:color="000000"/>
              <w:right w:val="single" w:sz="5" w:space="0" w:color="000000"/>
            </w:tcBorders>
            <w:vAlign w:val="center"/>
          </w:tcPr>
          <w:p w14:paraId="6CDCEF29" w14:textId="4E6F16EF" w:rsidR="006244B8" w:rsidRPr="00B14CD0" w:rsidRDefault="006244B8" w:rsidP="006244B8">
            <w:pPr>
              <w:spacing w:after="0" w:line="259" w:lineRule="auto"/>
              <w:ind w:right="57" w:firstLine="0"/>
              <w:rPr>
                <w:sz w:val="22"/>
                <w:szCs w:val="22"/>
              </w:rPr>
            </w:pPr>
            <w:proofErr w:type="gramStart"/>
            <w:r w:rsidRPr="006244B8">
              <w:rPr>
                <w:sz w:val="22"/>
                <w:szCs w:val="22"/>
              </w:rPr>
              <w:t>Характеристика:Гидравлический</w:t>
            </w:r>
            <w:proofErr w:type="gramEnd"/>
            <w:r w:rsidRPr="006244B8">
              <w:rPr>
                <w:sz w:val="22"/>
                <w:szCs w:val="22"/>
              </w:rPr>
              <w:t xml:space="preserve"> пакер 7” х 3 ½ для освоение нефтяных и газовых скважин ВУ-Х</w:t>
            </w:r>
          </w:p>
        </w:tc>
        <w:tc>
          <w:tcPr>
            <w:tcW w:w="528" w:type="pct"/>
            <w:tcBorders>
              <w:top w:val="single" w:sz="6" w:space="0" w:color="000000"/>
              <w:left w:val="single" w:sz="5" w:space="0" w:color="000000"/>
              <w:bottom w:val="single" w:sz="6" w:space="0" w:color="000000"/>
              <w:right w:val="single" w:sz="5" w:space="0" w:color="000000"/>
            </w:tcBorders>
            <w:vAlign w:val="center"/>
          </w:tcPr>
          <w:p w14:paraId="72CFE74F" w14:textId="76CBCEB9" w:rsidR="006244B8" w:rsidRPr="00B14CD0" w:rsidRDefault="006244B8" w:rsidP="006244B8">
            <w:pPr>
              <w:spacing w:after="0" w:line="259" w:lineRule="auto"/>
              <w:ind w:right="57" w:firstLine="0"/>
              <w:rPr>
                <w:sz w:val="22"/>
                <w:szCs w:val="22"/>
              </w:rPr>
            </w:pPr>
            <w:r w:rsidRPr="00B14CD0">
              <w:rPr>
                <w:sz w:val="22"/>
                <w:szCs w:val="22"/>
              </w:rPr>
              <w:t>1</w:t>
            </w:r>
          </w:p>
        </w:tc>
        <w:tc>
          <w:tcPr>
            <w:tcW w:w="504" w:type="pct"/>
            <w:tcBorders>
              <w:top w:val="single" w:sz="6" w:space="0" w:color="000000"/>
              <w:left w:val="single" w:sz="5" w:space="0" w:color="000000"/>
              <w:bottom w:val="single" w:sz="6" w:space="0" w:color="000000"/>
              <w:right w:val="single" w:sz="5" w:space="0" w:color="000000"/>
            </w:tcBorders>
            <w:vAlign w:val="center"/>
          </w:tcPr>
          <w:p w14:paraId="2CE9C5CD" w14:textId="26AD814E" w:rsidR="006244B8" w:rsidRPr="00B14CD0" w:rsidRDefault="006244B8" w:rsidP="006244B8">
            <w:pPr>
              <w:spacing w:after="0" w:line="259" w:lineRule="auto"/>
              <w:ind w:right="57" w:firstLine="0"/>
              <w:rPr>
                <w:sz w:val="22"/>
                <w:szCs w:val="22"/>
              </w:rPr>
            </w:pPr>
            <w:r>
              <w:rPr>
                <w:sz w:val="22"/>
                <w:szCs w:val="22"/>
              </w:rPr>
              <w:t>10 958 000</w:t>
            </w:r>
          </w:p>
        </w:tc>
        <w:tc>
          <w:tcPr>
            <w:tcW w:w="474" w:type="pct"/>
            <w:tcBorders>
              <w:top w:val="single" w:sz="6" w:space="0" w:color="000000"/>
              <w:left w:val="single" w:sz="5" w:space="0" w:color="000000"/>
              <w:bottom w:val="single" w:sz="6" w:space="0" w:color="000000"/>
              <w:right w:val="single" w:sz="5" w:space="0" w:color="000000"/>
            </w:tcBorders>
          </w:tcPr>
          <w:p w14:paraId="1F5605F1" w14:textId="77777777" w:rsidR="006244B8" w:rsidRPr="00B14CD0" w:rsidRDefault="006244B8" w:rsidP="006244B8">
            <w:pPr>
              <w:spacing w:after="0" w:line="259" w:lineRule="auto"/>
              <w:ind w:right="57" w:firstLine="0"/>
              <w:rPr>
                <w:sz w:val="22"/>
                <w:szCs w:val="22"/>
              </w:rPr>
            </w:pPr>
            <w:r w:rsidRPr="00B14CD0">
              <w:rPr>
                <w:sz w:val="22"/>
                <w:szCs w:val="22"/>
              </w:rPr>
              <w:t xml:space="preserve">1% от планируемой суммы закупка без учета налога на добавленную </w:t>
            </w:r>
            <w:r w:rsidRPr="00B14CD0">
              <w:rPr>
                <w:sz w:val="22"/>
                <w:szCs w:val="22"/>
              </w:rPr>
              <w:lastRenderedPageBreak/>
              <w:t>стоимость, тенге</w:t>
            </w:r>
          </w:p>
        </w:tc>
        <w:tc>
          <w:tcPr>
            <w:tcW w:w="634" w:type="pct"/>
            <w:tcBorders>
              <w:top w:val="single" w:sz="6" w:space="0" w:color="000000"/>
              <w:left w:val="single" w:sz="5" w:space="0" w:color="000000"/>
              <w:bottom w:val="single" w:sz="6" w:space="0" w:color="000000"/>
              <w:right w:val="single" w:sz="4" w:space="0" w:color="auto"/>
            </w:tcBorders>
          </w:tcPr>
          <w:p w14:paraId="422EB86E" w14:textId="3D9D3A34" w:rsidR="006244B8" w:rsidRPr="00B14CD0" w:rsidRDefault="006244B8" w:rsidP="006244B8">
            <w:pPr>
              <w:spacing w:after="0" w:line="259" w:lineRule="auto"/>
              <w:ind w:right="57" w:firstLine="0"/>
              <w:rPr>
                <w:sz w:val="22"/>
                <w:szCs w:val="22"/>
              </w:rPr>
            </w:pPr>
            <w:r w:rsidRPr="00B14CD0">
              <w:rPr>
                <w:sz w:val="22"/>
                <w:szCs w:val="22"/>
              </w:rPr>
              <w:lastRenderedPageBreak/>
              <w:t>0%</w:t>
            </w:r>
          </w:p>
        </w:tc>
      </w:tr>
    </w:tbl>
    <w:p w14:paraId="1766FD58" w14:textId="77777777" w:rsidR="00466128" w:rsidRPr="00AE00AD" w:rsidRDefault="00466128" w:rsidP="00350F87">
      <w:pPr>
        <w:spacing w:after="0"/>
        <w:ind w:firstLine="0"/>
        <w:rPr>
          <w:b/>
          <w:bCs/>
          <w:sz w:val="24"/>
        </w:rPr>
      </w:pPr>
    </w:p>
    <w:p w14:paraId="6251E101" w14:textId="380EA22D" w:rsidR="00466128" w:rsidRPr="00AE00AD" w:rsidRDefault="00466128" w:rsidP="00AE00AD">
      <w:pPr>
        <w:spacing w:after="0"/>
        <w:ind w:right="57" w:firstLine="708"/>
        <w:rPr>
          <w:sz w:val="24"/>
        </w:rPr>
      </w:pPr>
      <w:r w:rsidRPr="00AE00AD">
        <w:rPr>
          <w:sz w:val="24"/>
        </w:rPr>
        <w:t xml:space="preserve">Срок действия тендерной заявки должен составлять не менее 60 календарных дней. Течение срока действия обеспечения заявки на участие в </w:t>
      </w:r>
      <w:r w:rsidR="00AE4F0B" w:rsidRPr="00AE00AD">
        <w:rPr>
          <w:sz w:val="24"/>
        </w:rPr>
        <w:t xml:space="preserve">открытом </w:t>
      </w:r>
      <w:r w:rsidRPr="00AE00AD">
        <w:rPr>
          <w:sz w:val="24"/>
        </w:rPr>
        <w:t>тендере начинается со дня вскрытия тендерных заявок.</w:t>
      </w:r>
    </w:p>
    <w:p w14:paraId="4CAC968C" w14:textId="77777777" w:rsidR="00454A6F" w:rsidRPr="00AE00AD" w:rsidRDefault="00454A6F" w:rsidP="00350F87">
      <w:pPr>
        <w:spacing w:after="0"/>
        <w:ind w:firstLine="0"/>
        <w:rPr>
          <w:sz w:val="24"/>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Общие положения</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0DF4288" w14:textId="77777777" w:rsidR="00466128" w:rsidRPr="00AE00AD" w:rsidRDefault="00466128" w:rsidP="006E46CE">
      <w:pPr>
        <w:spacing w:after="0"/>
        <w:ind w:right="57" w:firstLine="0"/>
        <w:rPr>
          <w:sz w:val="24"/>
        </w:rPr>
      </w:pPr>
      <w:r w:rsidRPr="00AE00AD">
        <w:rPr>
          <w:sz w:val="24"/>
        </w:rPr>
        <w:t>В настоящей тендерной документации используются следующие основные понятия:</w:t>
      </w:r>
    </w:p>
    <w:p w14:paraId="60080883" w14:textId="77777777" w:rsidR="00466128" w:rsidRPr="00AE00AD" w:rsidRDefault="00466128" w:rsidP="006E46CE">
      <w:pPr>
        <w:spacing w:after="0"/>
        <w:ind w:right="57" w:firstLine="0"/>
        <w:rPr>
          <w:sz w:val="24"/>
        </w:rPr>
      </w:pPr>
      <w:r w:rsidRPr="00AE00AD">
        <w:rPr>
          <w:b/>
          <w:sz w:val="24"/>
        </w:rPr>
        <w:t>Заказчик</w:t>
      </w:r>
      <w:r w:rsidRPr="00AE00AD">
        <w:rPr>
          <w:sz w:val="24"/>
        </w:rPr>
        <w:t xml:space="preserve"> – ТОО «Урихтау Оперейтинг»;  </w:t>
      </w:r>
    </w:p>
    <w:p w14:paraId="2F3B70C4" w14:textId="77777777" w:rsidR="00466128" w:rsidRPr="00AE00AD" w:rsidRDefault="00466128" w:rsidP="006E46CE">
      <w:pPr>
        <w:spacing w:after="0" w:line="249" w:lineRule="auto"/>
        <w:ind w:right="57" w:firstLine="0"/>
        <w:rPr>
          <w:sz w:val="24"/>
        </w:rPr>
      </w:pPr>
      <w:r w:rsidRPr="00AE00AD">
        <w:rPr>
          <w:b/>
          <w:sz w:val="24"/>
        </w:rPr>
        <w:t>Организатор закупок</w:t>
      </w:r>
      <w:r w:rsidRPr="00AE00AD">
        <w:rPr>
          <w:sz w:val="24"/>
        </w:rPr>
        <w:t xml:space="preserve"> - должностное лицо или структурное подразделение заказчика;</w:t>
      </w:r>
    </w:p>
    <w:p w14:paraId="1661ED9E" w14:textId="77777777" w:rsidR="00466128" w:rsidRPr="00AE00AD" w:rsidRDefault="00466128" w:rsidP="006E46CE">
      <w:pPr>
        <w:spacing w:after="0" w:line="249" w:lineRule="auto"/>
        <w:ind w:right="57" w:firstLine="0"/>
        <w:rPr>
          <w:sz w:val="24"/>
        </w:rPr>
      </w:pPr>
      <w:r w:rsidRPr="00AE00AD">
        <w:rPr>
          <w:b/>
          <w:sz w:val="24"/>
        </w:rPr>
        <w:t>Потенциальный поставщик</w:t>
      </w:r>
      <w:r w:rsidRPr="00AE00AD">
        <w:rPr>
          <w:sz w:val="24"/>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Тендерная документация доступна к получению посредством веб-</w:t>
      </w:r>
      <w:r w:rsidR="007E167C">
        <w:rPr>
          <w:sz w:val="24"/>
        </w:rPr>
        <w:t>сайта</w:t>
      </w:r>
      <w:r w:rsidR="00350F87" w:rsidRPr="00AE00AD">
        <w:rPr>
          <w:sz w:val="24"/>
        </w:rPr>
        <w:t xml:space="preserve"> закупок</w:t>
      </w:r>
      <w:r w:rsidRPr="00AE00AD">
        <w:rPr>
          <w:sz w:val="24"/>
        </w:rPr>
        <w:t xml:space="preserve"> Заказчика: </w:t>
      </w:r>
      <w:hyperlink r:id="rId14"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Описание и требуемые функциональные, технические, качественные и эксплуатационные характеристики закупаемых ТРУ</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Требования к потенциальному поставщику</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Квалификационные требования, предусматривающие наличие у потенциального поставщика опыта работы в течение последних 5 (пяти) лет</w:t>
      </w:r>
    </w:p>
    <w:p w14:paraId="76684FB7" w14:textId="77777777" w:rsidR="00350F87" w:rsidRPr="00AE00AD" w:rsidRDefault="00350F87" w:rsidP="00350F87">
      <w:pPr>
        <w:pStyle w:val="a7"/>
        <w:spacing w:after="0"/>
        <w:ind w:left="0" w:firstLine="0"/>
        <w:rPr>
          <w:sz w:val="24"/>
        </w:rPr>
      </w:pPr>
    </w:p>
    <w:p w14:paraId="638FE2AD" w14:textId="214881E7" w:rsidR="00466128" w:rsidRPr="00AE00AD" w:rsidRDefault="00466128" w:rsidP="00350F87">
      <w:pPr>
        <w:pStyle w:val="a7"/>
        <w:numPr>
          <w:ilvl w:val="2"/>
          <w:numId w:val="1"/>
        </w:numPr>
        <w:spacing w:after="0"/>
        <w:ind w:left="0" w:firstLine="0"/>
        <w:rPr>
          <w:sz w:val="24"/>
        </w:rPr>
      </w:pPr>
      <w:r w:rsidRPr="00AE00AD">
        <w:rPr>
          <w:sz w:val="24"/>
        </w:rPr>
        <w:t>Требования к опыту работы потенциального поставщика не предусмотрено.</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47909EC" w14:textId="77777777" w:rsidR="00350F87" w:rsidRPr="00AE00AD" w:rsidRDefault="00350F87" w:rsidP="00350F87">
      <w:pPr>
        <w:pStyle w:val="a7"/>
        <w:spacing w:after="0"/>
        <w:ind w:left="0" w:firstLine="0"/>
        <w:rPr>
          <w:b/>
          <w:bCs/>
          <w:sz w:val="24"/>
        </w:rPr>
      </w:pPr>
    </w:p>
    <w:p w14:paraId="61980F17" w14:textId="44681A53" w:rsidR="00466128" w:rsidRPr="00AE00AD" w:rsidRDefault="00E55FA2" w:rsidP="00350F87">
      <w:pPr>
        <w:pStyle w:val="a7"/>
        <w:numPr>
          <w:ilvl w:val="2"/>
          <w:numId w:val="1"/>
        </w:numPr>
        <w:spacing w:after="0"/>
        <w:ind w:left="0" w:firstLine="0"/>
        <w:rPr>
          <w:sz w:val="24"/>
        </w:rPr>
      </w:pPr>
      <w:r w:rsidRPr="00841B34">
        <w:rPr>
          <w:sz w:val="22"/>
          <w:szCs w:val="22"/>
        </w:rPr>
        <w:t>Требования не предусмотрены</w:t>
      </w:r>
      <w:r w:rsidRPr="00AE00AD">
        <w:rPr>
          <w:sz w:val="24"/>
        </w:rPr>
        <w:t xml:space="preserve"> </w:t>
      </w: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Требования о предоставлении разрешения (лицензии)</w:t>
      </w:r>
    </w:p>
    <w:p w14:paraId="50B67F4D" w14:textId="77777777" w:rsidR="00350F87" w:rsidRPr="00AE00AD" w:rsidRDefault="00350F87" w:rsidP="00350F87">
      <w:pPr>
        <w:pStyle w:val="a7"/>
        <w:spacing w:after="0" w:line="240" w:lineRule="auto"/>
        <w:ind w:left="0" w:firstLine="0"/>
        <w:rPr>
          <w:sz w:val="24"/>
        </w:rPr>
      </w:pPr>
    </w:p>
    <w:p w14:paraId="1FB4A9E5" w14:textId="21BABA50" w:rsidR="00466128" w:rsidRPr="00AE00AD" w:rsidRDefault="00E55FA2" w:rsidP="00350F87">
      <w:pPr>
        <w:pStyle w:val="a7"/>
        <w:numPr>
          <w:ilvl w:val="2"/>
          <w:numId w:val="1"/>
        </w:numPr>
        <w:spacing w:after="0" w:line="240" w:lineRule="auto"/>
        <w:ind w:left="0" w:firstLine="0"/>
        <w:rPr>
          <w:sz w:val="24"/>
        </w:rPr>
      </w:pPr>
      <w:r w:rsidRPr="00841B34">
        <w:rPr>
          <w:sz w:val="22"/>
          <w:szCs w:val="22"/>
        </w:rPr>
        <w:t>Требования не предусмотрены</w:t>
      </w:r>
      <w:r w:rsidR="00466128" w:rsidRPr="00AE00AD">
        <w:rPr>
          <w:sz w:val="24"/>
        </w:rPr>
        <w:t>;</w:t>
      </w:r>
    </w:p>
    <w:p w14:paraId="6BB099CA" w14:textId="77777777" w:rsidR="00466128" w:rsidRPr="00AE00AD" w:rsidRDefault="00466128" w:rsidP="00350F87">
      <w:pPr>
        <w:spacing w:after="0" w:line="240" w:lineRule="auto"/>
        <w:ind w:firstLine="0"/>
        <w:rPr>
          <w:sz w:val="24"/>
        </w:rPr>
      </w:pP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 xml:space="preserve">Требования о наличии у потенциального поставщика оборудования, техники (технических устройств), зданий (сооружений), </w:t>
      </w:r>
      <w:proofErr w:type="gramStart"/>
      <w:r w:rsidRPr="00AE00AD">
        <w:rPr>
          <w:b/>
          <w:sz w:val="24"/>
        </w:rPr>
        <w:t>помещений  с</w:t>
      </w:r>
      <w:proofErr w:type="gramEnd"/>
      <w:r w:rsidRPr="00AE00AD">
        <w:rPr>
          <w:b/>
          <w:sz w:val="24"/>
        </w:rPr>
        <w:t xml:space="preserve"> предоставлением подтверждающих документов</w:t>
      </w:r>
    </w:p>
    <w:p w14:paraId="4630691C" w14:textId="77777777" w:rsidR="00350F87" w:rsidRPr="00AE00AD" w:rsidRDefault="00350F87" w:rsidP="00350F87">
      <w:pPr>
        <w:pStyle w:val="a7"/>
        <w:spacing w:after="0" w:line="240" w:lineRule="auto"/>
        <w:ind w:left="0" w:firstLine="0"/>
        <w:rPr>
          <w:sz w:val="24"/>
        </w:rPr>
      </w:pPr>
    </w:p>
    <w:p w14:paraId="3D32F5DE" w14:textId="602ED6C1" w:rsidR="00466128" w:rsidRPr="00AE00AD" w:rsidRDefault="00E55FA2" w:rsidP="00350F87">
      <w:pPr>
        <w:pStyle w:val="a7"/>
        <w:numPr>
          <w:ilvl w:val="2"/>
          <w:numId w:val="1"/>
        </w:numPr>
        <w:spacing w:after="0" w:line="240" w:lineRule="auto"/>
        <w:ind w:left="0" w:firstLine="0"/>
        <w:rPr>
          <w:sz w:val="24"/>
        </w:rPr>
      </w:pPr>
      <w:r w:rsidRPr="00841B34">
        <w:rPr>
          <w:sz w:val="22"/>
          <w:szCs w:val="22"/>
        </w:rPr>
        <w:t>Требования не предусмотрены</w:t>
      </w:r>
      <w:r w:rsidR="00466128" w:rsidRPr="00AE00AD">
        <w:rPr>
          <w:sz w:val="24"/>
        </w:rPr>
        <w:t>.</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Иные требования, предусмотренные законодательством Республики Казахстан или международными договорами Республики Казахстан</w:t>
      </w:r>
    </w:p>
    <w:p w14:paraId="295D0874" w14:textId="77777777" w:rsidR="00350F87" w:rsidRPr="00AE00AD" w:rsidRDefault="00350F87" w:rsidP="00350F87">
      <w:pPr>
        <w:pStyle w:val="a7"/>
        <w:spacing w:after="0" w:line="240" w:lineRule="auto"/>
        <w:ind w:left="0" w:firstLine="0"/>
        <w:rPr>
          <w:sz w:val="24"/>
        </w:rPr>
      </w:pPr>
    </w:p>
    <w:p w14:paraId="7090C169" w14:textId="75BBA7D2" w:rsidR="00466128" w:rsidRPr="00AE00AD" w:rsidRDefault="00E55FA2" w:rsidP="00350F87">
      <w:pPr>
        <w:pStyle w:val="a7"/>
        <w:numPr>
          <w:ilvl w:val="2"/>
          <w:numId w:val="1"/>
        </w:numPr>
        <w:spacing w:after="0" w:line="240" w:lineRule="auto"/>
        <w:ind w:left="0" w:firstLine="0"/>
        <w:rPr>
          <w:sz w:val="24"/>
        </w:rPr>
      </w:pPr>
      <w:r w:rsidRPr="00841B34">
        <w:rPr>
          <w:sz w:val="22"/>
          <w:szCs w:val="22"/>
        </w:rPr>
        <w:t>Требования не предусмотрены</w:t>
      </w:r>
      <w:r w:rsidR="00466128" w:rsidRPr="00AE00AD">
        <w:rPr>
          <w:sz w:val="24"/>
        </w:rPr>
        <w:t>.</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Иные требования, требующие документального подтверждения</w:t>
      </w:r>
    </w:p>
    <w:p w14:paraId="0E991743" w14:textId="77777777" w:rsidR="00350F87" w:rsidRPr="00AE00AD" w:rsidRDefault="00350F87" w:rsidP="00350F87">
      <w:pPr>
        <w:pStyle w:val="a7"/>
        <w:spacing w:after="0" w:line="240" w:lineRule="auto"/>
        <w:ind w:left="0" w:firstLine="0"/>
        <w:rPr>
          <w:b/>
          <w:bCs/>
          <w:sz w:val="24"/>
        </w:rPr>
      </w:pPr>
    </w:p>
    <w:p w14:paraId="42ECD363" w14:textId="70A4D3B6" w:rsidR="00466128" w:rsidRPr="00AE00AD" w:rsidRDefault="00E55FA2" w:rsidP="00350F87">
      <w:pPr>
        <w:pStyle w:val="a7"/>
        <w:numPr>
          <w:ilvl w:val="2"/>
          <w:numId w:val="1"/>
        </w:numPr>
        <w:spacing w:after="0" w:line="240" w:lineRule="auto"/>
        <w:ind w:left="0" w:firstLine="0"/>
        <w:rPr>
          <w:sz w:val="24"/>
        </w:rPr>
      </w:pPr>
      <w:r w:rsidRPr="00841B34">
        <w:rPr>
          <w:sz w:val="22"/>
          <w:szCs w:val="22"/>
        </w:rPr>
        <w:t>Требования не предусмотрены</w:t>
      </w:r>
      <w:r w:rsidR="00466128" w:rsidRPr="00AE00AD">
        <w:rPr>
          <w:sz w:val="24"/>
        </w:rPr>
        <w:t>.</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CD5A0B" w14:textId="77777777" w:rsidR="00350F87" w:rsidRPr="00AE00AD" w:rsidRDefault="00350F87" w:rsidP="00350F87">
      <w:pPr>
        <w:pStyle w:val="a7"/>
        <w:spacing w:after="0" w:line="240" w:lineRule="auto"/>
        <w:ind w:left="0" w:firstLine="0"/>
        <w:rPr>
          <w:sz w:val="24"/>
        </w:rPr>
      </w:pPr>
    </w:p>
    <w:p w14:paraId="0F9F29A2" w14:textId="609961C3" w:rsidR="00466128" w:rsidRPr="00AE00AD" w:rsidRDefault="00E55FA2" w:rsidP="00350F87">
      <w:pPr>
        <w:pStyle w:val="a7"/>
        <w:numPr>
          <w:ilvl w:val="2"/>
          <w:numId w:val="1"/>
        </w:numPr>
        <w:spacing w:after="0" w:line="240" w:lineRule="auto"/>
        <w:ind w:left="0" w:firstLine="0"/>
        <w:rPr>
          <w:sz w:val="24"/>
        </w:rPr>
      </w:pPr>
      <w:r w:rsidRPr="00E55FA2">
        <w:rPr>
          <w:sz w:val="24"/>
        </w:rPr>
        <w:t>Требования не предусмотрены</w:t>
      </w:r>
      <w:r w:rsidR="00466128" w:rsidRPr="00AE00AD">
        <w:rPr>
          <w:sz w:val="24"/>
        </w:rPr>
        <w:t>.</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Предельные объемы работ и услуг, которые могут быть переданы потенциальным поставщиком субподрядчикам (соисполнителям)</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Предоставляется в случае, если потенциальный поставщик привлекает субподрядчиков (соисполнителей) для выполнения работ либо оказания услуг. Объем передаваемых на субподряд (соисполнение) работ или услуг не должен превышать определенного в тендерной документации предельного объема работ и услуг.</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Прогнозная доля внутристрановой ценности</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 xml:space="preserve">Гарантийное обязательство потенциального поставщика по доле внутристрановой ценности </w:t>
      </w:r>
      <w:r w:rsidR="0043658C">
        <w:rPr>
          <w:bCs/>
          <w:sz w:val="24"/>
        </w:rPr>
        <w:t xml:space="preserve">в товарах, </w:t>
      </w:r>
      <w:r w:rsidRPr="00AE00AD">
        <w:rPr>
          <w:bCs/>
          <w:sz w:val="24"/>
        </w:rPr>
        <w:t>работах или услугах, с указанием процентного значения внутристрановой ценности в предлагаемых товарах, работах или услугах.</w:t>
      </w:r>
    </w:p>
    <w:p w14:paraId="5B3D7667" w14:textId="77777777" w:rsidR="00AE4F0B" w:rsidRPr="00AE00AD" w:rsidRDefault="00AE4F0B" w:rsidP="00AE00AD">
      <w:pPr>
        <w:spacing w:after="0" w:line="259" w:lineRule="auto"/>
        <w:ind w:right="57" w:firstLine="708"/>
        <w:rPr>
          <w:sz w:val="24"/>
        </w:rPr>
      </w:pPr>
      <w:r w:rsidRPr="00AE00AD">
        <w:rPr>
          <w:sz w:val="24"/>
        </w:rPr>
        <w:lastRenderedPageBreak/>
        <w:t>Доля внутристрановой ценности по товарам указывается в соответствии с реестром Казахстанских товаропроизводителей (Выписка из реестра Казахстанских товаропроизводителей, сформированную в соответствии с Правилами ведения реестра казахстанских товаропроизводителей, утвержденными уполномоченным органом в области государственного стимулирования промышленности).</w:t>
      </w:r>
    </w:p>
    <w:p w14:paraId="5FF42F7F" w14:textId="77777777" w:rsidR="00AE4F0B" w:rsidRPr="00AE00AD" w:rsidRDefault="00AE4F0B" w:rsidP="00AE00AD">
      <w:pPr>
        <w:spacing w:after="0" w:line="259" w:lineRule="auto"/>
        <w:ind w:right="57" w:firstLine="708"/>
        <w:rPr>
          <w:sz w:val="24"/>
        </w:rPr>
      </w:pPr>
      <w:r w:rsidRPr="00AE00AD">
        <w:rPr>
          <w:sz w:val="24"/>
        </w:rPr>
        <w:t>Данные по внутристрановой ценности заполняется в тендерной заявке потенциального поставщика.</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Представление тендерных заявок и ценового предложения на участие в открытом тендере</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Заявка на участие в открытом тендере (далее – Заявка) предоставляется в электронной форме на веб-сайте Заказчика.</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Ценовое предложение представляется на веб-</w:t>
      </w:r>
      <w:r w:rsidR="007E167C">
        <w:rPr>
          <w:sz w:val="24"/>
          <w:lang w:val="kk-KZ"/>
        </w:rPr>
        <w:t>сайте</w:t>
      </w:r>
      <w:r w:rsidRPr="00AE00AD">
        <w:rPr>
          <w:sz w:val="24"/>
        </w:rPr>
        <w:t xml:space="preserve"> Заказчика,</w:t>
      </w:r>
      <w:r w:rsidRPr="00AE00AD">
        <w:rPr>
          <w:sz w:val="24"/>
          <w:lang w:val="kk-KZ"/>
        </w:rPr>
        <w:t xml:space="preserve"> до окончания приема заявок от Потенциальных поставщиков, указанного в объявлении о закупках способом открытого </w:t>
      </w:r>
      <w:r w:rsidRPr="00AE00AD">
        <w:rPr>
          <w:sz w:val="24"/>
        </w:rPr>
        <w:t>тендера</w:t>
      </w:r>
      <w:r w:rsidRPr="00AE00AD">
        <w:rPr>
          <w:sz w:val="24"/>
          <w:lang w:val="kk-KZ"/>
        </w:rPr>
        <w:t>. Каждый потенциальный поставщик может подать только одно ценовое предложение.</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открытого тендера.</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Содержание заявок на участие в тендере</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Заявка на участие в закупке должна содержать:</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w:t>
      </w:r>
    </w:p>
    <w:p w14:paraId="49E452DF" w14:textId="77777777" w:rsidR="00D607E2" w:rsidRPr="00AE00AD" w:rsidRDefault="00D607E2" w:rsidP="00AE00AD">
      <w:pPr>
        <w:spacing w:after="0" w:line="240" w:lineRule="auto"/>
        <w:ind w:firstLine="708"/>
        <w:rPr>
          <w:sz w:val="24"/>
        </w:rPr>
      </w:pPr>
      <w:r w:rsidRPr="00AE00AD">
        <w:rPr>
          <w:sz w:val="24"/>
        </w:rPr>
        <w:t>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w:t>
      </w:r>
    </w:p>
    <w:p w14:paraId="254DBAB1" w14:textId="77777777" w:rsidR="00D607E2" w:rsidRPr="00AE00AD" w:rsidRDefault="00D607E2" w:rsidP="00AE00AD">
      <w:pPr>
        <w:spacing w:after="0" w:line="240" w:lineRule="auto"/>
        <w:ind w:firstLine="708"/>
        <w:rPr>
          <w:sz w:val="24"/>
        </w:rPr>
      </w:pPr>
      <w:r w:rsidRPr="00AE00AD">
        <w:rPr>
          <w:sz w:val="24"/>
        </w:rPr>
        <w:t>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w:t>
      </w:r>
    </w:p>
    <w:p w14:paraId="1652C75D" w14:textId="77777777" w:rsidR="00D607E2" w:rsidRPr="00AE00AD" w:rsidRDefault="00D607E2" w:rsidP="00350F87">
      <w:pPr>
        <w:spacing w:after="0" w:line="240" w:lineRule="auto"/>
        <w:ind w:firstLine="0"/>
        <w:rPr>
          <w:sz w:val="24"/>
        </w:rPr>
      </w:pPr>
      <w:r w:rsidRPr="00AE00AD">
        <w:rPr>
          <w:sz w:val="24"/>
        </w:rPr>
        <w:t>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w:t>
      </w:r>
    </w:p>
    <w:p w14:paraId="5091C29E" w14:textId="77777777" w:rsidR="00D607E2" w:rsidRPr="00AE00AD" w:rsidRDefault="00D607E2" w:rsidP="00AE00AD">
      <w:pPr>
        <w:spacing w:after="0" w:line="240" w:lineRule="auto"/>
        <w:ind w:firstLine="708"/>
        <w:rPr>
          <w:sz w:val="24"/>
        </w:rPr>
      </w:pPr>
      <w:r w:rsidRPr="00AE00AD">
        <w:rPr>
          <w:sz w:val="24"/>
        </w:rPr>
        <w:t>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w:t>
      </w:r>
    </w:p>
    <w:p w14:paraId="42A8716D" w14:textId="02E408EC" w:rsidR="00D607E2" w:rsidRPr="00AE00AD" w:rsidRDefault="00D607E2" w:rsidP="00AE00AD">
      <w:pPr>
        <w:spacing w:after="0" w:line="240" w:lineRule="auto"/>
        <w:ind w:firstLine="708"/>
        <w:rPr>
          <w:sz w:val="24"/>
        </w:rPr>
      </w:pPr>
      <w:r w:rsidRPr="00AE00AD">
        <w:rPr>
          <w:sz w:val="24"/>
        </w:rPr>
        <w:t>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lastRenderedPageBreak/>
        <w:t>Согласие потенциального поставщика с технической спецификации Заказчика. 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 посредством веб-</w:t>
      </w:r>
      <w:r w:rsidR="007E167C">
        <w:rPr>
          <w:sz w:val="24"/>
        </w:rPr>
        <w:t>сайта</w:t>
      </w:r>
      <w:r w:rsidRPr="00AE00AD">
        <w:rPr>
          <w:sz w:val="24"/>
        </w:rPr>
        <w:t>.</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Согласие потенциального поставщика с условиями, видом, объемом и способом внесения обеспечения исполнения договора о закупках.</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Копии документов, подтверждающие соответствие требованиям, установленные разделом 3 настоящей Тендерной документации.</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 </w:t>
      </w:r>
      <w:r w:rsidRPr="00AE00AD">
        <w:rPr>
          <w:sz w:val="24"/>
          <w:lang w:val="kk-KZ"/>
        </w:rPr>
        <w:t xml:space="preserve">до окончания приема заявок от Потенциальных поставщиков, указанного в объявлении о закупках способом </w:t>
      </w:r>
      <w:r w:rsidRPr="00AE00AD">
        <w:rPr>
          <w:sz w:val="24"/>
        </w:rPr>
        <w:t xml:space="preserve">тендера. </w:t>
      </w:r>
    </w:p>
    <w:p w14:paraId="68C298FA" w14:textId="734CFD0E" w:rsidR="00D607E2" w:rsidRPr="00AE00AD" w:rsidRDefault="00D607E2" w:rsidP="00AE00AD">
      <w:pPr>
        <w:pStyle w:val="a7"/>
        <w:spacing w:after="0" w:line="240" w:lineRule="auto"/>
        <w:ind w:left="0" w:firstLine="708"/>
        <w:rPr>
          <w:sz w:val="24"/>
        </w:rPr>
      </w:pPr>
      <w:r w:rsidRPr="00AE00AD">
        <w:rPr>
          <w:sz w:val="24"/>
        </w:rPr>
        <w:t>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Требования к языку составления и представления тендерных заявок</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Заявка, а также все документы и сведения, содержащиеся в заявке, представляются на казахском или русском языках. 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Требования к содержанию и валюте ценового предложения</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Ценовое предложение предоставляется в соответствии со статьей 4 Тендерной документации.</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42AB3AD4" w14:textId="7A9E354F" w:rsidR="00997BB8" w:rsidRPr="00AE00AD" w:rsidRDefault="00997BB8" w:rsidP="00AE00AD">
      <w:pPr>
        <w:spacing w:after="0" w:line="259" w:lineRule="auto"/>
        <w:ind w:right="57" w:firstLine="708"/>
        <w:rPr>
          <w:sz w:val="24"/>
        </w:rPr>
      </w:pPr>
      <w:r w:rsidRPr="00AE00AD">
        <w:rPr>
          <w:sz w:val="24"/>
        </w:rPr>
        <w:t>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w:t>
      </w:r>
      <w:r w:rsidR="00AE00AD" w:rsidRPr="00AE00AD">
        <w:rPr>
          <w:sz w:val="24"/>
        </w:rPr>
        <w:t>.</w:t>
      </w:r>
    </w:p>
    <w:p w14:paraId="748FD9D5" w14:textId="755F2101" w:rsidR="00997BB8" w:rsidRPr="00AE00AD" w:rsidRDefault="00997BB8" w:rsidP="00AE00AD">
      <w:pPr>
        <w:spacing w:after="0" w:line="240" w:lineRule="auto"/>
        <w:ind w:firstLine="708"/>
        <w:rPr>
          <w:sz w:val="24"/>
        </w:rPr>
      </w:pPr>
      <w:r w:rsidRPr="00AE00AD">
        <w:rPr>
          <w:sz w:val="24"/>
        </w:rPr>
        <w:t>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Ценовое предложение участника закупок должно быть выражено в тенге.</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Условия внесения, содержание и виды обеспечения тендерной заявки</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lastRenderedPageBreak/>
        <w:t>Потенциальный поставщик вносит обеспечение Тендерной заявки, в качестве гарантии того, что он:</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не отзовет либо не изменит свою тендерную заявку после истечения окончательного срока представления заявок;</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Срок действия обеспечения заявки должен быть не менее срока действия заявки на участие в тендере.  При этом течение срока действия обеспечения заявки на участие в закупках начинается со дня вскрытия заявок на участие в тендере.</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Все заявки, не </w:t>
      </w:r>
      <w:r w:rsidR="00361CC1">
        <w:rPr>
          <w:sz w:val="24"/>
        </w:rPr>
        <w:t>внесшие</w:t>
      </w:r>
      <w:r w:rsidRPr="00AE00AD">
        <w:rPr>
          <w:sz w:val="24"/>
        </w:rPr>
        <w:t xml:space="preserve"> обеспечения заявки на участие в закупке, отклоняются тендерной комиссией, как не отвечающие требованиям Тендерной документации.</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отзыва данным потенциальным поставщиком своей тендерной заявки до истечения окончательного срока представления заявок;</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подписания протокола итогов тендера. Указанный случай не распространяется на победителя тендера;</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и внесения победителем тендера обеспечения исполнения договора, предусмотренного тендерной документацией;</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вступления в силу договора о закупках (в случае, если тендерной документацией не предусматривается внесение обеспечения исполнения договора);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отмены/отказа от осуществления закупок.</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Обеспечение тендерной заявки, внесенное потенциальным поставщиком, не возвращается при наступлении одного из следующих случаев;</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определенный победителем тендера, уклонился от заключения договора о закупках;</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Изменение тендерных заявок и их отзыв</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Потенциальный поставщик не позднее окончания срока представления заявок на участие в закупке вправе:</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Изменить и (или) дополнить внесенную заявку на участие в закупке;</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lastRenderedPageBreak/>
        <w:t>Отозвать свою заявку на участие в электронной закупке, не утрачивая права на возврат, внесенного им обеспечения заявки на участие в закупке.</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Не допускается отзыв заявки на участие в закупке, после истечения окончательного срока представления заявки на участие в закупке.</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Порядок рассмотрения, оценки и сопоставления заявок на участие в тендере</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0E992E33" w14:textId="77777777" w:rsidR="00997BB8" w:rsidRPr="00AE00AD" w:rsidRDefault="00997BB8" w:rsidP="00AE00AD">
      <w:pPr>
        <w:spacing w:after="0" w:line="259" w:lineRule="auto"/>
        <w:ind w:right="57" w:firstLine="708"/>
        <w:rPr>
          <w:sz w:val="24"/>
        </w:rPr>
      </w:pPr>
      <w:r w:rsidRPr="00AE00AD">
        <w:rPr>
          <w:sz w:val="24"/>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6B1C7CC" w14:textId="5C160081" w:rsidR="00997BB8" w:rsidRPr="00AE00AD" w:rsidRDefault="00997BB8" w:rsidP="00AE00AD">
      <w:pPr>
        <w:spacing w:after="0" w:line="240" w:lineRule="auto"/>
        <w:ind w:firstLine="708"/>
        <w:rPr>
          <w:sz w:val="24"/>
        </w:rPr>
      </w:pPr>
      <w:r w:rsidRPr="00AE00AD">
        <w:rPr>
          <w:sz w:val="24"/>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В случае отсутствия у тендерной комиссии замечаний к содержанию заявок на участие в закупке формируется протокол итогов.</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вскрытия с указанием исчерпывающего перечня выявленных несоответствий.  </w:t>
      </w:r>
    </w:p>
    <w:p w14:paraId="41DBC475" w14:textId="77777777" w:rsidR="00AE00AD" w:rsidRPr="00AE00AD" w:rsidRDefault="00997BB8" w:rsidP="00AE00AD">
      <w:pPr>
        <w:spacing w:after="0" w:line="259" w:lineRule="auto"/>
        <w:ind w:right="57" w:firstLine="708"/>
        <w:rPr>
          <w:sz w:val="24"/>
        </w:rPr>
      </w:pPr>
      <w:r w:rsidRPr="00AE00AD">
        <w:rPr>
          <w:sz w:val="24"/>
        </w:rPr>
        <w:t xml:space="preserve">Протокол вскрытия подписывается членами тендерной комиссии и ее секретарем. Протокол вскрытия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вскрытия предоставляется после его публикации. </w:t>
      </w:r>
    </w:p>
    <w:p w14:paraId="425C853A" w14:textId="22701B80" w:rsidR="00997BB8" w:rsidRPr="00AE00AD" w:rsidRDefault="00997BB8" w:rsidP="00AE00AD">
      <w:pPr>
        <w:spacing w:after="0" w:line="259" w:lineRule="auto"/>
        <w:ind w:right="57" w:firstLine="708"/>
        <w:rPr>
          <w:sz w:val="24"/>
        </w:rPr>
      </w:pPr>
      <w:r w:rsidRPr="00AE00AD">
        <w:rPr>
          <w:sz w:val="24"/>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726FEB31"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вскрытия.  </w:t>
      </w:r>
    </w:p>
    <w:p w14:paraId="4A9EB0EF" w14:textId="77777777" w:rsidR="00997BB8" w:rsidRPr="00AE00AD" w:rsidRDefault="00997BB8" w:rsidP="00AE00AD">
      <w:pPr>
        <w:spacing w:after="0" w:line="259" w:lineRule="auto"/>
        <w:ind w:right="57" w:firstLine="708"/>
        <w:rPr>
          <w:sz w:val="24"/>
        </w:rPr>
      </w:pPr>
      <w:r w:rsidRPr="00AE00AD">
        <w:rPr>
          <w:sz w:val="24"/>
        </w:rPr>
        <w:t xml:space="preserve">Потенциальные поставщики, в заявках которых были выявлены несоответствия, вправе в сроки указанные в протоколе вскрытия,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7B2AEBC8" w14:textId="67505252" w:rsidR="00997BB8" w:rsidRPr="00AE00AD" w:rsidRDefault="00997BB8" w:rsidP="00AE00AD">
      <w:pPr>
        <w:spacing w:after="0" w:line="259" w:lineRule="auto"/>
        <w:ind w:right="57" w:firstLine="708"/>
        <w:rPr>
          <w:sz w:val="24"/>
        </w:rPr>
      </w:pPr>
      <w:r w:rsidRPr="00AE00AD">
        <w:rPr>
          <w:sz w:val="24"/>
        </w:rPr>
        <w:lastRenderedPageBreak/>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Тендерная комиссия отклоняет заявку потенциального поставщика в следующих случаях:</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Признания тендерной заявки на участие в закупке несоответствующей требованиям настоящей Тендерной документации;</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Если потенциальный поставщик является аффилиированным лицом другого потенциального поставщика, подавшего заявку на участие в данном тендере;</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Ценовое предложение потенциального поставщика превышает сумму, выделенную для закупки;</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Подведение итогов</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При этом низкая цена на ТРУ в полученных коммерческих предложениях, не является основным критерием при осуществлении выбора поставщика.</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Порядок заключения договора о закупках по итогам тендера</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закупок, не подписал договор в установленные сроки, то такой потенциальный поставщик признается уклонившимся от заключения договора о закупках. 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и дополнений в проект договора о закупках допускается по взаимному согласию сторон.</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Внесение изменений в заключенный договор о закупках допускаются по взаимному согласию сторон.</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lastRenderedPageBreak/>
        <w:t>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Условия, виды, объем и способ внесения обеспечения исполнения договора</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Потенциальный поставщик вправе выбрать один из следующих видов обеспечения исполнения договора, указанных в Договоре.</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Заказчик не инициирует возврат обеспечения исполнения договора в случаях, если:</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договор расторгнут по вине поставщика;</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поставщиком нарушены условия договора, предусматривающие удержание штрафных санкций из суммы обеспечения исполнения договора.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в случае отказа поставщика от исполнения договора.</w:t>
      </w:r>
    </w:p>
    <w:sectPr w:rsidR="000B6541" w:rsidRPr="00AE00AD" w:rsidSect="00350F87">
      <w:pgSz w:w="15840" w:h="12240" w:orient="landscape"/>
      <w:pgMar w:top="568" w:right="1134"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6-02-12T12:50:00Z" w:initials="КАН">
    <w:p w14:paraId="731F4517" w14:textId="77777777" w:rsidR="000B6541" w:rsidRDefault="000B6541" w:rsidP="000B6541">
      <w:pPr>
        <w:pStyle w:val="af"/>
        <w:ind w:firstLine="0"/>
        <w:jc w:val="left"/>
      </w:pPr>
      <w:r>
        <w:rPr>
          <w:rStyle w:val="ae"/>
        </w:rPr>
        <w:annotationRef/>
      </w:r>
      <w:r>
        <w:t>Доля внутристрановой ценности  на 2026 год по контракту 5224:</w:t>
      </w:r>
    </w:p>
    <w:p w14:paraId="11AA6A16" w14:textId="77777777" w:rsidR="000B6541" w:rsidRDefault="000B6541" w:rsidP="000B6541">
      <w:pPr>
        <w:pStyle w:val="af"/>
        <w:ind w:firstLine="0"/>
        <w:jc w:val="left"/>
      </w:pPr>
      <w:r>
        <w:rPr>
          <w:b/>
          <w:bCs/>
        </w:rPr>
        <w:t>По работам не менее 75%</w:t>
      </w:r>
    </w:p>
    <w:p w14:paraId="02E76460" w14:textId="77777777" w:rsidR="000B6541" w:rsidRDefault="000B6541" w:rsidP="000B6541">
      <w:pPr>
        <w:pStyle w:val="af"/>
        <w:ind w:firstLine="0"/>
        <w:jc w:val="left"/>
      </w:pPr>
      <w:r>
        <w:rPr>
          <w:b/>
          <w:bCs/>
        </w:rPr>
        <w:t>По услугам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E764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7AF533" w16cex:dateUtc="2026-02-1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E76460" w16cid:durableId="2F7AF53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76C83"/>
    <w:rsid w:val="001C08D2"/>
    <w:rsid w:val="00236C21"/>
    <w:rsid w:val="00272C03"/>
    <w:rsid w:val="00350F87"/>
    <w:rsid w:val="00361CC1"/>
    <w:rsid w:val="003C2041"/>
    <w:rsid w:val="003C59BA"/>
    <w:rsid w:val="00412B2B"/>
    <w:rsid w:val="0043658C"/>
    <w:rsid w:val="00454A6F"/>
    <w:rsid w:val="00466128"/>
    <w:rsid w:val="004E4389"/>
    <w:rsid w:val="005434A1"/>
    <w:rsid w:val="005828B2"/>
    <w:rsid w:val="005B3DDF"/>
    <w:rsid w:val="006244B8"/>
    <w:rsid w:val="006E46CE"/>
    <w:rsid w:val="007339BA"/>
    <w:rsid w:val="00787BC4"/>
    <w:rsid w:val="007A11FA"/>
    <w:rsid w:val="007E167C"/>
    <w:rsid w:val="00856423"/>
    <w:rsid w:val="00910BC6"/>
    <w:rsid w:val="00997BB8"/>
    <w:rsid w:val="00AA7200"/>
    <w:rsid w:val="00AE00AD"/>
    <w:rsid w:val="00AE2058"/>
    <w:rsid w:val="00AE4F0B"/>
    <w:rsid w:val="00AF27D7"/>
    <w:rsid w:val="00B14CD0"/>
    <w:rsid w:val="00B21D88"/>
    <w:rsid w:val="00CB01A4"/>
    <w:rsid w:val="00D46470"/>
    <w:rsid w:val="00D607E2"/>
    <w:rsid w:val="00DE60AC"/>
    <w:rsid w:val="00DE7F80"/>
    <w:rsid w:val="00E55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microsoft.com/office/2011/relationships/commentsExtended" Target="commentsExtended.xml"/><Relationship Id="rId5" Type="http://schemas.openxmlformats.org/officeDocument/2006/relationships/hyperlink" Target="mailto:a.kopzhassar@uo.kmg.kz" TargetMode="Externa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zakup.urikhtau.kz/" TargetMode="External"/><Relationship Id="rId14"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546</TotalTime>
  <Pages>9</Pages>
  <Words>2638</Words>
  <Characters>19392</Characters>
  <Application>Microsoft Office Word</Application>
  <DocSecurity>0</DocSecurity>
  <Lines>380</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Копжасар Асылмурат Нурланович</cp:lastModifiedBy>
  <cp:revision>17</cp:revision>
  <dcterms:created xsi:type="dcterms:W3CDTF">2026-02-12T06:47:00Z</dcterms:created>
  <dcterms:modified xsi:type="dcterms:W3CDTF">2026-03-10T10:29:00Z</dcterms:modified>
</cp:coreProperties>
</file>