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497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87"/>
        <w:gridCol w:w="764"/>
        <w:gridCol w:w="1771"/>
        <w:gridCol w:w="1472"/>
        <w:gridCol w:w="1739"/>
        <w:gridCol w:w="1437"/>
        <w:gridCol w:w="1518"/>
        <w:gridCol w:w="1291"/>
        <w:gridCol w:w="1723"/>
      </w:tblGrid>
      <w:tr w:rsidR="008C67AE" w:rsidRPr="00D93F2A" w14:paraId="265BFB1F" w14:textId="77777777" w:rsidTr="00D93F2A">
        <w:trPr>
          <w:trHeight w:val="632"/>
        </w:trPr>
        <w:tc>
          <w:tcPr>
            <w:tcW w:w="662" w:type="pct"/>
            <w:vAlign w:val="center"/>
          </w:tcPr>
          <w:p w14:paraId="40810337" w14:textId="77777777" w:rsidR="00466128" w:rsidRPr="00D93F2A" w:rsidRDefault="00466128" w:rsidP="008C67AE">
            <w:pPr>
              <w:spacing w:after="0" w:line="259" w:lineRule="auto"/>
              <w:ind w:right="57" w:firstLine="0"/>
              <w:jc w:val="center"/>
              <w:rPr>
                <w:b/>
                <w:sz w:val="22"/>
                <w:szCs w:val="22"/>
              </w:rPr>
            </w:pPr>
          </w:p>
          <w:p w14:paraId="306538B6" w14:textId="77777777" w:rsidR="00466128" w:rsidRPr="00D93F2A" w:rsidRDefault="00466128" w:rsidP="008C67AE">
            <w:pPr>
              <w:spacing w:after="0"/>
              <w:ind w:right="57" w:firstLine="0"/>
              <w:jc w:val="center"/>
              <w:rPr>
                <w:b/>
                <w:bCs/>
                <w:sz w:val="22"/>
                <w:szCs w:val="22"/>
              </w:rPr>
            </w:pPr>
            <w:r w:rsidRPr="00D93F2A">
              <w:rPr>
                <w:b/>
                <w:bCs/>
                <w:sz w:val="22"/>
                <w:szCs w:val="22"/>
              </w:rPr>
              <w:t>Номер контракта на недропользование</w:t>
            </w:r>
          </w:p>
        </w:tc>
        <w:tc>
          <w:tcPr>
            <w:tcW w:w="283" w:type="pct"/>
            <w:vAlign w:val="center"/>
          </w:tcPr>
          <w:p w14:paraId="363D6EE4" w14:textId="77777777" w:rsidR="00466128" w:rsidRPr="00D93F2A" w:rsidRDefault="00466128" w:rsidP="008C67AE">
            <w:pPr>
              <w:spacing w:after="0" w:line="259" w:lineRule="auto"/>
              <w:ind w:right="57" w:firstLine="0"/>
              <w:jc w:val="center"/>
              <w:rPr>
                <w:b/>
                <w:bCs/>
                <w:sz w:val="22"/>
                <w:szCs w:val="22"/>
              </w:rPr>
            </w:pPr>
            <w:r w:rsidRPr="00D93F2A">
              <w:rPr>
                <w:b/>
                <w:bCs/>
                <w:sz w:val="22"/>
                <w:szCs w:val="22"/>
              </w:rPr>
              <w:t>Код предмета закупки</w:t>
            </w:r>
          </w:p>
        </w:tc>
        <w:tc>
          <w:tcPr>
            <w:tcW w:w="656" w:type="pct"/>
            <w:vAlign w:val="center"/>
          </w:tcPr>
          <w:p w14:paraId="6DD3F352" w14:textId="77777777" w:rsidR="00466128" w:rsidRPr="00D93F2A" w:rsidRDefault="00466128" w:rsidP="008C67AE">
            <w:pPr>
              <w:spacing w:after="0" w:line="259" w:lineRule="auto"/>
              <w:ind w:right="57" w:firstLine="0"/>
              <w:jc w:val="center"/>
              <w:rPr>
                <w:sz w:val="22"/>
                <w:szCs w:val="22"/>
              </w:rPr>
            </w:pPr>
            <w:r w:rsidRPr="00D93F2A">
              <w:rPr>
                <w:b/>
                <w:sz w:val="22"/>
                <w:szCs w:val="22"/>
              </w:rPr>
              <w:t>Код товаров, работ или услуг по Единому номенклатурному справочнику товаров, работ и услуг</w:t>
            </w:r>
          </w:p>
        </w:tc>
        <w:tc>
          <w:tcPr>
            <w:tcW w:w="545" w:type="pct"/>
            <w:vAlign w:val="center"/>
          </w:tcPr>
          <w:p w14:paraId="772A9077" w14:textId="77777777" w:rsidR="00466128" w:rsidRPr="00D93F2A" w:rsidRDefault="00466128" w:rsidP="008C67AE">
            <w:pPr>
              <w:spacing w:after="0" w:line="259" w:lineRule="auto"/>
              <w:ind w:right="57" w:firstLine="0"/>
              <w:jc w:val="center"/>
              <w:rPr>
                <w:b/>
                <w:sz w:val="22"/>
                <w:szCs w:val="22"/>
              </w:rPr>
            </w:pPr>
            <w:r w:rsidRPr="00D93F2A">
              <w:rPr>
                <w:b/>
                <w:sz w:val="22"/>
                <w:szCs w:val="22"/>
              </w:rPr>
              <w:t>Наименование закупаемых товаров, работ и услуг</w:t>
            </w:r>
          </w:p>
        </w:tc>
        <w:tc>
          <w:tcPr>
            <w:tcW w:w="644" w:type="pct"/>
            <w:vAlign w:val="center"/>
          </w:tcPr>
          <w:p w14:paraId="36F512DA" w14:textId="77777777" w:rsidR="00466128" w:rsidRPr="00D93F2A" w:rsidRDefault="00466128" w:rsidP="008C67AE">
            <w:pPr>
              <w:spacing w:after="0" w:line="259" w:lineRule="auto"/>
              <w:ind w:right="57" w:firstLine="0"/>
              <w:jc w:val="center"/>
              <w:rPr>
                <w:sz w:val="22"/>
                <w:szCs w:val="22"/>
              </w:rPr>
            </w:pPr>
            <w:r w:rsidRPr="00D93F2A">
              <w:rPr>
                <w:b/>
                <w:sz w:val="22"/>
                <w:szCs w:val="22"/>
              </w:rPr>
              <w:t>Наименование и краткое (дополнительное) описание приобретаемых товаров, работ и услуг</w:t>
            </w:r>
          </w:p>
        </w:tc>
        <w:tc>
          <w:tcPr>
            <w:tcW w:w="532" w:type="pct"/>
            <w:vAlign w:val="center"/>
          </w:tcPr>
          <w:p w14:paraId="72E10524" w14:textId="77777777" w:rsidR="00466128" w:rsidRPr="00D93F2A" w:rsidRDefault="00466128" w:rsidP="008C67AE">
            <w:pPr>
              <w:spacing w:after="0" w:line="259" w:lineRule="auto"/>
              <w:ind w:right="57" w:firstLine="0"/>
              <w:jc w:val="center"/>
              <w:rPr>
                <w:sz w:val="22"/>
                <w:szCs w:val="22"/>
              </w:rPr>
            </w:pPr>
            <w:r w:rsidRPr="00D93F2A">
              <w:rPr>
                <w:b/>
                <w:sz w:val="22"/>
                <w:szCs w:val="22"/>
              </w:rPr>
              <w:t>Планируемый объем закупа в натуральном выражении</w:t>
            </w:r>
          </w:p>
        </w:tc>
        <w:tc>
          <w:tcPr>
            <w:tcW w:w="562" w:type="pct"/>
            <w:vAlign w:val="center"/>
          </w:tcPr>
          <w:p w14:paraId="3D8F2F03" w14:textId="77777777" w:rsidR="00466128" w:rsidRPr="00D93F2A" w:rsidRDefault="00466128" w:rsidP="008C67AE">
            <w:pPr>
              <w:spacing w:after="0" w:line="259" w:lineRule="auto"/>
              <w:ind w:right="57" w:firstLine="0"/>
              <w:jc w:val="center"/>
              <w:rPr>
                <w:sz w:val="22"/>
                <w:szCs w:val="22"/>
              </w:rPr>
            </w:pPr>
            <w:r w:rsidRPr="00D93F2A">
              <w:rPr>
                <w:b/>
                <w:sz w:val="22"/>
                <w:szCs w:val="22"/>
              </w:rPr>
              <w:t>Планируемая сумма закупа без учета налога на добавленную стоимость, тенге</w:t>
            </w:r>
          </w:p>
        </w:tc>
        <w:tc>
          <w:tcPr>
            <w:tcW w:w="478" w:type="pct"/>
            <w:vAlign w:val="center"/>
          </w:tcPr>
          <w:p w14:paraId="390B6686" w14:textId="77777777" w:rsidR="00466128" w:rsidRPr="00D93F2A" w:rsidRDefault="00466128" w:rsidP="008C67AE">
            <w:pPr>
              <w:spacing w:after="0" w:line="259" w:lineRule="auto"/>
              <w:ind w:right="57" w:firstLine="0"/>
              <w:jc w:val="center"/>
              <w:rPr>
                <w:b/>
                <w:sz w:val="22"/>
                <w:szCs w:val="22"/>
              </w:rPr>
            </w:pPr>
            <w:r w:rsidRPr="00D93F2A">
              <w:rPr>
                <w:b/>
                <w:sz w:val="22"/>
                <w:szCs w:val="22"/>
              </w:rPr>
              <w:t>Обеспечение тендерной заявки</w:t>
            </w:r>
          </w:p>
        </w:tc>
        <w:tc>
          <w:tcPr>
            <w:tcW w:w="638" w:type="pct"/>
            <w:vAlign w:val="center"/>
          </w:tcPr>
          <w:p w14:paraId="0568F3C2" w14:textId="77777777" w:rsidR="00466128" w:rsidRPr="00D93F2A" w:rsidRDefault="00466128" w:rsidP="008C67AE">
            <w:pPr>
              <w:spacing w:after="0" w:line="259" w:lineRule="auto"/>
              <w:ind w:right="57" w:firstLine="0"/>
              <w:jc w:val="center"/>
              <w:rPr>
                <w:b/>
                <w:sz w:val="22"/>
                <w:szCs w:val="22"/>
              </w:rPr>
            </w:pPr>
            <w:commentRangeStart w:id="0"/>
            <w:r w:rsidRPr="00D93F2A">
              <w:rPr>
                <w:b/>
                <w:sz w:val="22"/>
                <w:szCs w:val="22"/>
              </w:rPr>
              <w:t>Прогнозная доля внутристрановой ценности по работам и услугам</w:t>
            </w:r>
            <w:commentRangeEnd w:id="0"/>
            <w:r w:rsidR="008C67AE" w:rsidRPr="00D93F2A">
              <w:rPr>
                <w:rStyle w:val="af"/>
                <w:b/>
                <w:sz w:val="22"/>
                <w:szCs w:val="22"/>
              </w:rPr>
              <w:commentReference w:id="0"/>
            </w:r>
          </w:p>
        </w:tc>
      </w:tr>
      <w:tr w:rsidR="000B17FD" w:rsidRPr="00D93F2A" w14:paraId="1566318D" w14:textId="77777777" w:rsidTr="00D93F2A">
        <w:trPr>
          <w:trHeight w:val="1715"/>
        </w:trPr>
        <w:tc>
          <w:tcPr>
            <w:tcW w:w="662" w:type="pct"/>
            <w:vAlign w:val="center"/>
          </w:tcPr>
          <w:p w14:paraId="31BD9D18" w14:textId="45073425" w:rsidR="000B17FD" w:rsidRPr="00D93F2A" w:rsidRDefault="000B17FD" w:rsidP="000B17FD">
            <w:pPr>
              <w:spacing w:after="0" w:line="259" w:lineRule="auto"/>
              <w:ind w:right="57" w:firstLine="0"/>
              <w:jc w:val="center"/>
              <w:rPr>
                <w:sz w:val="22"/>
                <w:szCs w:val="22"/>
              </w:rPr>
            </w:pPr>
            <w:r w:rsidRPr="00D93F2A">
              <w:rPr>
                <w:sz w:val="22"/>
                <w:szCs w:val="22"/>
              </w:rPr>
              <w:t>2882</w:t>
            </w:r>
          </w:p>
        </w:tc>
        <w:tc>
          <w:tcPr>
            <w:tcW w:w="283" w:type="pct"/>
            <w:vAlign w:val="center"/>
          </w:tcPr>
          <w:p w14:paraId="52406A79" w14:textId="326D3FE6" w:rsidR="000B17FD" w:rsidRPr="00D93F2A" w:rsidRDefault="000B17FD" w:rsidP="000B17FD">
            <w:pPr>
              <w:spacing w:after="0" w:line="259" w:lineRule="auto"/>
              <w:ind w:right="57" w:firstLine="0"/>
              <w:jc w:val="center"/>
              <w:rPr>
                <w:sz w:val="22"/>
                <w:szCs w:val="22"/>
              </w:rPr>
            </w:pPr>
            <w:r w:rsidRPr="00841B34">
              <w:rPr>
                <w:sz w:val="22"/>
                <w:szCs w:val="22"/>
              </w:rPr>
              <w:t>-</w:t>
            </w:r>
          </w:p>
        </w:tc>
        <w:tc>
          <w:tcPr>
            <w:tcW w:w="656" w:type="pct"/>
            <w:vAlign w:val="center"/>
          </w:tcPr>
          <w:p w14:paraId="0C418C1C" w14:textId="3F73F132" w:rsidR="000B17FD" w:rsidRPr="00D93F2A" w:rsidRDefault="000B17FD" w:rsidP="000B17FD">
            <w:pPr>
              <w:spacing w:after="0" w:line="259" w:lineRule="auto"/>
              <w:ind w:right="57" w:firstLine="0"/>
              <w:jc w:val="center"/>
              <w:rPr>
                <w:sz w:val="22"/>
                <w:szCs w:val="22"/>
              </w:rPr>
            </w:pPr>
            <w:r w:rsidRPr="004B6AE0">
              <w:rPr>
                <w:sz w:val="22"/>
                <w:szCs w:val="22"/>
              </w:rPr>
              <w:t>091012.990.000005</w:t>
            </w:r>
          </w:p>
        </w:tc>
        <w:tc>
          <w:tcPr>
            <w:tcW w:w="545" w:type="pct"/>
            <w:vAlign w:val="center"/>
          </w:tcPr>
          <w:p w14:paraId="49A8D414" w14:textId="2E3D02A5" w:rsidR="000B17FD" w:rsidRPr="00D93F2A" w:rsidRDefault="000B17FD" w:rsidP="000B17FD">
            <w:pPr>
              <w:spacing w:after="0" w:line="259" w:lineRule="auto"/>
              <w:ind w:right="57" w:firstLine="0"/>
              <w:jc w:val="center"/>
              <w:rPr>
                <w:sz w:val="22"/>
                <w:szCs w:val="22"/>
              </w:rPr>
            </w:pPr>
            <w:r w:rsidRPr="004B6AE0">
              <w:rPr>
                <w:sz w:val="22"/>
                <w:szCs w:val="22"/>
              </w:rPr>
              <w:t>Услуги супервайзерские в области испытания скважин</w:t>
            </w:r>
          </w:p>
        </w:tc>
        <w:tc>
          <w:tcPr>
            <w:tcW w:w="644" w:type="pct"/>
            <w:vAlign w:val="center"/>
          </w:tcPr>
          <w:p w14:paraId="6CDCEF29" w14:textId="5DBF7478" w:rsidR="000B17FD" w:rsidRPr="00D93F2A" w:rsidRDefault="000B17FD" w:rsidP="000B17FD">
            <w:pPr>
              <w:spacing w:after="0" w:line="259" w:lineRule="auto"/>
              <w:ind w:right="57" w:firstLine="0"/>
              <w:jc w:val="center"/>
              <w:rPr>
                <w:sz w:val="22"/>
                <w:szCs w:val="22"/>
              </w:rPr>
            </w:pPr>
            <w:r w:rsidRPr="002C64BE">
              <w:rPr>
                <w:sz w:val="22"/>
                <w:szCs w:val="22"/>
              </w:rPr>
              <w:t xml:space="preserve">Услуги супервайзеров при освоении 9 скважин 58г, 59г, 60г, 61г, 62г, 63г, У-3, У-4 и при КРС по ревизии подземного оборудования (ПО) на </w:t>
            </w:r>
            <w:r w:rsidRPr="002C64BE">
              <w:rPr>
                <w:sz w:val="22"/>
                <w:szCs w:val="22"/>
              </w:rPr>
              <w:lastRenderedPageBreak/>
              <w:t>месторождении Урихтау</w:t>
            </w:r>
          </w:p>
        </w:tc>
        <w:tc>
          <w:tcPr>
            <w:tcW w:w="532" w:type="pct"/>
            <w:vAlign w:val="center"/>
          </w:tcPr>
          <w:p w14:paraId="72CFE74F" w14:textId="0D90B333" w:rsidR="000B17FD" w:rsidRPr="00D93F2A" w:rsidRDefault="000B17FD" w:rsidP="000B17FD">
            <w:pPr>
              <w:spacing w:after="0" w:line="259" w:lineRule="auto"/>
              <w:ind w:right="57" w:firstLine="0"/>
              <w:jc w:val="center"/>
              <w:rPr>
                <w:sz w:val="22"/>
                <w:szCs w:val="22"/>
              </w:rPr>
            </w:pPr>
            <w:r w:rsidRPr="004B6AE0">
              <w:rPr>
                <w:sz w:val="22"/>
                <w:szCs w:val="22"/>
              </w:rPr>
              <w:lastRenderedPageBreak/>
              <w:t>1</w:t>
            </w:r>
          </w:p>
        </w:tc>
        <w:tc>
          <w:tcPr>
            <w:tcW w:w="562" w:type="pct"/>
            <w:vAlign w:val="center"/>
          </w:tcPr>
          <w:p w14:paraId="2CE9C5CD" w14:textId="17960798" w:rsidR="000B17FD" w:rsidRPr="00D93F2A" w:rsidRDefault="004B7AC5" w:rsidP="000B17FD">
            <w:pPr>
              <w:spacing w:after="0" w:line="259" w:lineRule="auto"/>
              <w:ind w:right="57" w:firstLine="0"/>
              <w:jc w:val="center"/>
              <w:rPr>
                <w:sz w:val="22"/>
                <w:szCs w:val="22"/>
              </w:rPr>
            </w:pPr>
            <w:r>
              <w:rPr>
                <w:sz w:val="22"/>
                <w:szCs w:val="22"/>
              </w:rPr>
              <w:t>59 624 962</w:t>
            </w:r>
          </w:p>
        </w:tc>
        <w:tc>
          <w:tcPr>
            <w:tcW w:w="478" w:type="pct"/>
            <w:vAlign w:val="center"/>
          </w:tcPr>
          <w:p w14:paraId="1F5605F1" w14:textId="77777777" w:rsidR="000B17FD" w:rsidRPr="00D93F2A" w:rsidRDefault="000B17FD" w:rsidP="000B17FD">
            <w:pPr>
              <w:spacing w:after="0" w:line="259" w:lineRule="auto"/>
              <w:ind w:right="57" w:firstLine="0"/>
              <w:jc w:val="center"/>
              <w:rPr>
                <w:sz w:val="22"/>
                <w:szCs w:val="22"/>
              </w:rPr>
            </w:pPr>
            <w:r w:rsidRPr="00D93F2A">
              <w:rPr>
                <w:sz w:val="22"/>
                <w:szCs w:val="22"/>
              </w:rPr>
              <w:t>1% от планируемой суммы закупка без учета налога на добавленную стоимость, тенге</w:t>
            </w:r>
          </w:p>
        </w:tc>
        <w:tc>
          <w:tcPr>
            <w:tcW w:w="638" w:type="pct"/>
            <w:vAlign w:val="center"/>
          </w:tcPr>
          <w:p w14:paraId="422EB86E" w14:textId="7E3634D8" w:rsidR="000B17FD" w:rsidRPr="00D93F2A" w:rsidRDefault="000B17FD" w:rsidP="000B17FD">
            <w:pPr>
              <w:spacing w:after="0" w:line="259" w:lineRule="auto"/>
              <w:ind w:right="57" w:firstLine="0"/>
              <w:jc w:val="center"/>
              <w:rPr>
                <w:sz w:val="22"/>
                <w:szCs w:val="22"/>
              </w:rPr>
            </w:pPr>
            <w:r w:rsidRPr="00D93F2A">
              <w:rPr>
                <w:sz w:val="22"/>
                <w:szCs w:val="22"/>
              </w:rPr>
              <w:t xml:space="preserve">Не менее </w:t>
            </w:r>
            <w:r>
              <w:rPr>
                <w:sz w:val="22"/>
                <w:szCs w:val="22"/>
                <w:lang w:val="en-US"/>
              </w:rPr>
              <w:t>9</w:t>
            </w:r>
            <w:r w:rsidRPr="00D93F2A">
              <w:rPr>
                <w:sz w:val="22"/>
                <w:szCs w:val="22"/>
              </w:rPr>
              <w:t>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4"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2F0127C0" w14:textId="77777777" w:rsidR="000B17FD" w:rsidRPr="000B17FD" w:rsidRDefault="000B17FD" w:rsidP="000B17FD">
      <w:pPr>
        <w:spacing w:after="0"/>
        <w:ind w:right="57" w:firstLine="0"/>
        <w:rPr>
          <w:sz w:val="24"/>
        </w:rPr>
      </w:pPr>
      <w:r w:rsidRPr="000B17FD">
        <w:rPr>
          <w:sz w:val="24"/>
        </w:rPr>
        <w:t>3.1.1. Требования к опыту работы потенциального поставщика не предусмотрено.</w:t>
      </w:r>
    </w:p>
    <w:p w14:paraId="5E8ACAFA" w14:textId="77777777" w:rsidR="000B17FD" w:rsidRPr="000B17FD" w:rsidRDefault="000B17FD" w:rsidP="000B17FD">
      <w:pPr>
        <w:spacing w:after="0"/>
        <w:ind w:left="721"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B74C20" w:rsidRDefault="00350F87" w:rsidP="00350F87">
      <w:pPr>
        <w:pStyle w:val="a8"/>
        <w:spacing w:after="0"/>
        <w:ind w:left="0" w:firstLine="0"/>
        <w:rPr>
          <w:sz w:val="24"/>
        </w:rPr>
      </w:pPr>
    </w:p>
    <w:p w14:paraId="641AF2E2" w14:textId="77777777" w:rsidR="008C67AE" w:rsidRPr="00B74C20" w:rsidRDefault="008C67AE" w:rsidP="00350F87">
      <w:pPr>
        <w:pStyle w:val="a8"/>
        <w:spacing w:after="0"/>
        <w:ind w:left="0" w:firstLine="0"/>
        <w:rPr>
          <w:sz w:val="24"/>
        </w:rPr>
      </w:pPr>
    </w:p>
    <w:tbl>
      <w:tblPr>
        <w:tblStyle w:val="TableGrid"/>
        <w:tblW w:w="139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8709"/>
        <w:gridCol w:w="1742"/>
        <w:gridCol w:w="1109"/>
      </w:tblGrid>
      <w:tr w:rsidR="008C67AE" w:rsidRPr="00D80B7F" w14:paraId="4385AEF4" w14:textId="77777777" w:rsidTr="008C67AE">
        <w:trPr>
          <w:trHeight w:val="632"/>
        </w:trPr>
        <w:tc>
          <w:tcPr>
            <w:tcW w:w="2340" w:type="dxa"/>
          </w:tcPr>
          <w:p w14:paraId="0EB134F8" w14:textId="77777777" w:rsidR="008C67AE" w:rsidRPr="00D80B7F" w:rsidRDefault="008C67AE" w:rsidP="002A5EF0">
            <w:pPr>
              <w:spacing w:after="0" w:line="259" w:lineRule="auto"/>
              <w:ind w:right="57" w:firstLine="0"/>
              <w:rPr>
                <w:sz w:val="22"/>
                <w:szCs w:val="22"/>
              </w:rPr>
            </w:pPr>
            <w:r w:rsidRPr="00D80B7F">
              <w:rPr>
                <w:b/>
                <w:sz w:val="22"/>
                <w:szCs w:val="22"/>
              </w:rPr>
              <w:t>Специалисты, обладающие квалификацией и/или опытом работы</w:t>
            </w:r>
          </w:p>
        </w:tc>
        <w:tc>
          <w:tcPr>
            <w:tcW w:w="8709" w:type="dxa"/>
            <w:vAlign w:val="center"/>
          </w:tcPr>
          <w:p w14:paraId="3F49B415" w14:textId="77777777" w:rsidR="008C67AE" w:rsidRPr="00D80B7F" w:rsidRDefault="008C67AE" w:rsidP="002A5EF0">
            <w:pPr>
              <w:spacing w:after="0" w:line="259" w:lineRule="auto"/>
              <w:ind w:right="57" w:firstLine="0"/>
              <w:rPr>
                <w:sz w:val="22"/>
                <w:szCs w:val="22"/>
              </w:rPr>
            </w:pPr>
            <w:r w:rsidRPr="00D80B7F">
              <w:rPr>
                <w:b/>
                <w:sz w:val="22"/>
                <w:szCs w:val="22"/>
              </w:rPr>
              <w:t>Документы, подтверждающие квалификацию и/или опыт работы специалистов</w:t>
            </w:r>
          </w:p>
        </w:tc>
        <w:tc>
          <w:tcPr>
            <w:tcW w:w="1742" w:type="dxa"/>
            <w:vAlign w:val="center"/>
          </w:tcPr>
          <w:p w14:paraId="098E66FE" w14:textId="77777777" w:rsidR="008C67AE" w:rsidRPr="00D80B7F" w:rsidRDefault="008C67AE" w:rsidP="002A5EF0">
            <w:pPr>
              <w:spacing w:after="0" w:line="259" w:lineRule="auto"/>
              <w:ind w:right="57" w:firstLine="0"/>
              <w:rPr>
                <w:sz w:val="22"/>
                <w:szCs w:val="22"/>
              </w:rPr>
            </w:pPr>
            <w:r w:rsidRPr="00D80B7F">
              <w:rPr>
                <w:b/>
                <w:sz w:val="22"/>
                <w:szCs w:val="22"/>
              </w:rPr>
              <w:t>Количество</w:t>
            </w:r>
          </w:p>
        </w:tc>
        <w:tc>
          <w:tcPr>
            <w:tcW w:w="1109" w:type="dxa"/>
          </w:tcPr>
          <w:p w14:paraId="3711DE30" w14:textId="77777777" w:rsidR="008C67AE" w:rsidRPr="00D80B7F" w:rsidRDefault="008C67AE" w:rsidP="002A5EF0">
            <w:pPr>
              <w:spacing w:after="0" w:line="259" w:lineRule="auto"/>
              <w:ind w:right="57" w:firstLine="0"/>
              <w:rPr>
                <w:sz w:val="22"/>
                <w:szCs w:val="22"/>
              </w:rPr>
            </w:pPr>
            <w:r w:rsidRPr="00D80B7F">
              <w:rPr>
                <w:b/>
                <w:sz w:val="22"/>
                <w:szCs w:val="22"/>
              </w:rPr>
              <w:t>Опыт работы</w:t>
            </w:r>
          </w:p>
        </w:tc>
      </w:tr>
      <w:tr w:rsidR="008C67AE" w:rsidRPr="00D80B7F" w14:paraId="30E363CC" w14:textId="77777777" w:rsidTr="008C67AE">
        <w:trPr>
          <w:trHeight w:val="450"/>
        </w:trPr>
        <w:tc>
          <w:tcPr>
            <w:tcW w:w="2340" w:type="dxa"/>
          </w:tcPr>
          <w:p w14:paraId="7A95A678" w14:textId="7D0C7DAB" w:rsidR="008C67AE" w:rsidRPr="00D80B7F" w:rsidRDefault="000B17FD" w:rsidP="002A5EF0">
            <w:pPr>
              <w:spacing w:after="0" w:line="259" w:lineRule="auto"/>
              <w:ind w:right="57" w:firstLine="0"/>
              <w:rPr>
                <w:sz w:val="22"/>
                <w:szCs w:val="22"/>
              </w:rPr>
            </w:pPr>
            <w:r w:rsidRPr="00987470">
              <w:rPr>
                <w:sz w:val="22"/>
                <w:szCs w:val="22"/>
              </w:rPr>
              <w:t>супервайзер</w:t>
            </w:r>
            <w:r>
              <w:rPr>
                <w:sz w:val="22"/>
                <w:szCs w:val="22"/>
              </w:rPr>
              <w:t xml:space="preserve"> </w:t>
            </w:r>
            <w:r w:rsidRPr="00987470">
              <w:rPr>
                <w:sz w:val="22"/>
                <w:szCs w:val="22"/>
              </w:rPr>
              <w:t xml:space="preserve">по </w:t>
            </w:r>
            <w:r>
              <w:rPr>
                <w:sz w:val="22"/>
                <w:szCs w:val="22"/>
              </w:rPr>
              <w:t xml:space="preserve">КРС и освоению или </w:t>
            </w:r>
            <w:r w:rsidRPr="00987470">
              <w:rPr>
                <w:sz w:val="22"/>
                <w:szCs w:val="22"/>
              </w:rPr>
              <w:t>бурению</w:t>
            </w:r>
          </w:p>
        </w:tc>
        <w:tc>
          <w:tcPr>
            <w:tcW w:w="8709" w:type="dxa"/>
          </w:tcPr>
          <w:p w14:paraId="69CF7D11" w14:textId="5145E4E3" w:rsidR="000B17FD" w:rsidRDefault="000B17FD" w:rsidP="000B17FD">
            <w:pPr>
              <w:spacing w:after="0" w:line="259" w:lineRule="auto"/>
              <w:ind w:right="57" w:firstLine="0"/>
              <w:rPr>
                <w:sz w:val="22"/>
                <w:szCs w:val="22"/>
              </w:rPr>
            </w:pPr>
            <w:r>
              <w:rPr>
                <w:sz w:val="22"/>
                <w:szCs w:val="22"/>
              </w:rPr>
              <w:t xml:space="preserve">Копии </w:t>
            </w:r>
            <w:r w:rsidRPr="002C64BE">
              <w:rPr>
                <w:sz w:val="22"/>
                <w:szCs w:val="22"/>
              </w:rPr>
              <w:t>документов, согласно статье 35 Трудового Кодекса Республики Казахстан, подтверждающих опыт работы</w:t>
            </w:r>
          </w:p>
          <w:p w14:paraId="57FDF467" w14:textId="0148796F" w:rsidR="000B17FD" w:rsidRDefault="000B17FD" w:rsidP="000B17FD">
            <w:pPr>
              <w:spacing w:after="0" w:line="259" w:lineRule="auto"/>
              <w:ind w:right="57" w:firstLine="0"/>
              <w:rPr>
                <w:sz w:val="22"/>
                <w:szCs w:val="22"/>
              </w:rPr>
            </w:pPr>
            <w:r>
              <w:rPr>
                <w:sz w:val="22"/>
                <w:szCs w:val="22"/>
              </w:rPr>
              <w:t xml:space="preserve">Копии дипломов супервайзеров по специальности </w:t>
            </w:r>
            <w:r w:rsidRPr="002C64BE">
              <w:rPr>
                <w:sz w:val="22"/>
                <w:szCs w:val="22"/>
              </w:rPr>
              <w:t>«Разработка нефтяных и газовых месторождений» или «Бурение нефтяных и газовых скважин» или «Нефтегазовое дело»</w:t>
            </w:r>
            <w:r>
              <w:rPr>
                <w:sz w:val="22"/>
                <w:szCs w:val="22"/>
              </w:rPr>
              <w:t>.</w:t>
            </w:r>
          </w:p>
          <w:p w14:paraId="4495FD97" w14:textId="1FD8F9C3" w:rsidR="000B17FD" w:rsidRDefault="000B17FD" w:rsidP="000B17FD">
            <w:pPr>
              <w:spacing w:after="0" w:line="259" w:lineRule="auto"/>
              <w:ind w:right="57" w:firstLine="0"/>
              <w:rPr>
                <w:sz w:val="22"/>
                <w:szCs w:val="22"/>
              </w:rPr>
            </w:pPr>
            <w:r>
              <w:rPr>
                <w:sz w:val="22"/>
                <w:szCs w:val="22"/>
              </w:rPr>
              <w:t xml:space="preserve">Копии </w:t>
            </w:r>
            <w:r w:rsidRPr="002C64BE">
              <w:rPr>
                <w:sz w:val="22"/>
                <w:szCs w:val="22"/>
              </w:rPr>
              <w:t>международных сертификатов IWCF или казахстанских сертификатов по теме «Управление скважиной при возникновении ГНВП».</w:t>
            </w:r>
          </w:p>
          <w:p w14:paraId="259073DA" w14:textId="5622B26E" w:rsidR="008C67AE" w:rsidRPr="00D80B7F" w:rsidRDefault="000B17FD" w:rsidP="000B17FD">
            <w:pPr>
              <w:spacing w:after="0" w:line="259" w:lineRule="auto"/>
              <w:ind w:right="57" w:firstLine="0"/>
            </w:pPr>
            <w:r>
              <w:rPr>
                <w:sz w:val="22"/>
                <w:szCs w:val="22"/>
              </w:rPr>
              <w:t xml:space="preserve">Копии </w:t>
            </w:r>
            <w:r w:rsidRPr="00304FDE">
              <w:rPr>
                <w:sz w:val="22"/>
                <w:szCs w:val="22"/>
              </w:rPr>
              <w:t>сертификат</w:t>
            </w:r>
            <w:r>
              <w:rPr>
                <w:sz w:val="22"/>
                <w:szCs w:val="22"/>
              </w:rPr>
              <w:t>ов</w:t>
            </w:r>
            <w:r w:rsidRPr="00304FDE">
              <w:rPr>
                <w:sz w:val="22"/>
                <w:szCs w:val="22"/>
              </w:rPr>
              <w:t xml:space="preserve"> по промышленной безопасности и прохождению курсов «Сероводород», «Пожарно-технический минимум», «Безопасность и Охрана труда»</w:t>
            </w:r>
          </w:p>
        </w:tc>
        <w:tc>
          <w:tcPr>
            <w:tcW w:w="1742" w:type="dxa"/>
            <w:vAlign w:val="center"/>
          </w:tcPr>
          <w:p w14:paraId="31B945F7" w14:textId="77C7A005" w:rsidR="008C67AE" w:rsidRPr="000B17FD" w:rsidRDefault="000B17FD" w:rsidP="002A5EF0">
            <w:pPr>
              <w:spacing w:after="0" w:line="259" w:lineRule="auto"/>
              <w:ind w:right="57" w:firstLine="0"/>
              <w:rPr>
                <w:sz w:val="22"/>
                <w:szCs w:val="22"/>
                <w:lang w:val="en-US"/>
              </w:rPr>
            </w:pPr>
            <w:r>
              <w:rPr>
                <w:sz w:val="22"/>
                <w:szCs w:val="22"/>
                <w:lang w:val="en-US"/>
              </w:rPr>
              <w:t>8</w:t>
            </w:r>
          </w:p>
        </w:tc>
        <w:tc>
          <w:tcPr>
            <w:tcW w:w="1109" w:type="dxa"/>
            <w:vAlign w:val="center"/>
          </w:tcPr>
          <w:p w14:paraId="2BBDF16B" w14:textId="77777777" w:rsidR="008C67AE" w:rsidRPr="00D80B7F" w:rsidRDefault="008C67AE" w:rsidP="002A5EF0">
            <w:pPr>
              <w:spacing w:after="0" w:line="259" w:lineRule="auto"/>
              <w:ind w:right="57" w:firstLine="0"/>
              <w:rPr>
                <w:sz w:val="22"/>
                <w:szCs w:val="22"/>
              </w:rPr>
            </w:pPr>
            <w:r w:rsidRPr="00D80B7F">
              <w:rPr>
                <w:sz w:val="22"/>
                <w:szCs w:val="22"/>
              </w:rPr>
              <w:t>Не менее 5 лет</w:t>
            </w:r>
          </w:p>
        </w:tc>
      </w:tr>
    </w:tbl>
    <w:p w14:paraId="7F20217A" w14:textId="77777777" w:rsidR="008C67AE" w:rsidRPr="008C67AE" w:rsidRDefault="008C67AE" w:rsidP="00350F87">
      <w:pPr>
        <w:pStyle w:val="a8"/>
        <w:spacing w:after="0"/>
        <w:ind w:left="0" w:firstLine="0"/>
        <w:rPr>
          <w:sz w:val="24"/>
          <w:lang w:val="en-US"/>
        </w:rPr>
      </w:pPr>
    </w:p>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44F7491B" w14:textId="77777777" w:rsidR="00412829" w:rsidRPr="00412829" w:rsidRDefault="00412829" w:rsidP="00412829">
      <w:pPr>
        <w:spacing w:after="0"/>
        <w:ind w:right="57" w:firstLine="0"/>
        <w:rPr>
          <w:sz w:val="24"/>
        </w:rPr>
      </w:pPr>
      <w:r w:rsidRPr="00412829">
        <w:rPr>
          <w:sz w:val="24"/>
        </w:rPr>
        <w:t>3.3.1. Требования не предусмотрены.</w:t>
      </w:r>
    </w:p>
    <w:p w14:paraId="5D0FA18C" w14:textId="77777777" w:rsidR="00412829" w:rsidRPr="00412829" w:rsidRDefault="00412829" w:rsidP="007C3AB9">
      <w:pPr>
        <w:spacing w:after="0" w:line="240" w:lineRule="auto"/>
        <w:ind w:firstLine="0"/>
        <w:rPr>
          <w:sz w:val="24"/>
          <w:lang w:val="en-US"/>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7046A854" w14:textId="0AFA15A4" w:rsidR="00412829" w:rsidRPr="00412829" w:rsidRDefault="007C3AB9" w:rsidP="00412829">
      <w:pPr>
        <w:spacing w:after="0"/>
        <w:ind w:right="57" w:firstLine="0"/>
        <w:rPr>
          <w:sz w:val="24"/>
        </w:rPr>
      </w:pPr>
      <w:r w:rsidRPr="00412829">
        <w:rPr>
          <w:sz w:val="24"/>
        </w:rPr>
        <w:t xml:space="preserve">3.4.1. </w:t>
      </w:r>
      <w:r w:rsidR="00412829" w:rsidRPr="00412829">
        <w:rPr>
          <w:sz w:val="24"/>
        </w:rPr>
        <w:t>Требования не предусмотрены.</w:t>
      </w:r>
    </w:p>
    <w:p w14:paraId="0356BFA7" w14:textId="77777777" w:rsidR="007C3AB9" w:rsidRPr="00B74C20" w:rsidRDefault="007C3AB9" w:rsidP="007C3AB9">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1425C2E9"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38782B62"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5FD673D5"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lastRenderedPageBreak/>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2T12:50:00Z" w:initials="КАН">
    <w:p w14:paraId="577C74CC" w14:textId="77777777" w:rsidR="005D520E" w:rsidRDefault="000B6541" w:rsidP="005D520E">
      <w:pPr>
        <w:pStyle w:val="af0"/>
        <w:ind w:firstLine="0"/>
        <w:jc w:val="left"/>
      </w:pPr>
      <w:r>
        <w:rPr>
          <w:rStyle w:val="af"/>
        </w:rPr>
        <w:annotationRef/>
      </w:r>
      <w:r w:rsidR="005D520E">
        <w:t>Доля внутристрановой ценности  на 2026 год по контракту 2882:</w:t>
      </w:r>
    </w:p>
    <w:p w14:paraId="5C999258" w14:textId="77777777" w:rsidR="005D520E" w:rsidRDefault="005D520E" w:rsidP="005D520E">
      <w:pPr>
        <w:pStyle w:val="af0"/>
        <w:ind w:firstLine="0"/>
        <w:jc w:val="left"/>
      </w:pPr>
      <w:r>
        <w:rPr>
          <w:b/>
          <w:bCs/>
        </w:rPr>
        <w:t>По работам не менее 55-60%</w:t>
      </w:r>
    </w:p>
    <w:p w14:paraId="02E76460" w14:textId="77777777" w:rsidR="005D520E" w:rsidRDefault="005D520E" w:rsidP="005D520E">
      <w:pPr>
        <w:pStyle w:val="af0"/>
        <w:ind w:firstLine="0"/>
        <w:jc w:val="left"/>
      </w:pPr>
      <w:r>
        <w:rPr>
          <w:b/>
          <w:bCs/>
        </w:rPr>
        <w:t>По услугам не менее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764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AF533" w16cex:dateUtc="2026-02-1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76460" w16cid:durableId="2F7AF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53752"/>
    <w:rsid w:val="000B17FD"/>
    <w:rsid w:val="000B6541"/>
    <w:rsid w:val="0010490C"/>
    <w:rsid w:val="0022519E"/>
    <w:rsid w:val="00226CAD"/>
    <w:rsid w:val="002B7F80"/>
    <w:rsid w:val="002D1704"/>
    <w:rsid w:val="00350F87"/>
    <w:rsid w:val="003C59BA"/>
    <w:rsid w:val="00412829"/>
    <w:rsid w:val="0043658C"/>
    <w:rsid w:val="00454A6F"/>
    <w:rsid w:val="00466128"/>
    <w:rsid w:val="004B7AC5"/>
    <w:rsid w:val="004E4389"/>
    <w:rsid w:val="005D520E"/>
    <w:rsid w:val="00696112"/>
    <w:rsid w:val="00764BA7"/>
    <w:rsid w:val="007C3AB9"/>
    <w:rsid w:val="007E167C"/>
    <w:rsid w:val="008C67AE"/>
    <w:rsid w:val="00910BC6"/>
    <w:rsid w:val="00997BB8"/>
    <w:rsid w:val="00AE00AD"/>
    <w:rsid w:val="00AE4F0B"/>
    <w:rsid w:val="00AF27D7"/>
    <w:rsid w:val="00B74C20"/>
    <w:rsid w:val="00D607E2"/>
    <w:rsid w:val="00D93F2A"/>
    <w:rsid w:val="00D96D6A"/>
    <w:rsid w:val="00DC231C"/>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paragraph" w:styleId="af5">
    <w:name w:val="No Spacing"/>
    <w:link w:val="af6"/>
    <w:uiPriority w:val="1"/>
    <w:qFormat/>
    <w:rsid w:val="008C67AE"/>
    <w:pPr>
      <w:spacing w:after="0" w:line="240" w:lineRule="auto"/>
    </w:pPr>
    <w:rPr>
      <w:rFonts w:ascii="Calibri" w:eastAsia="Times New Roman" w:hAnsi="Calibri" w:cs="Times New Roman"/>
      <w:kern w:val="0"/>
      <w:sz w:val="22"/>
      <w:szCs w:val="22"/>
      <w:lang w:eastAsia="ru-RU"/>
      <w14:ligatures w14:val="none"/>
    </w:rPr>
  </w:style>
  <w:style w:type="character" w:customStyle="1" w:styleId="af6">
    <w:name w:val="Без интервала Знак"/>
    <w:link w:val="af5"/>
    <w:uiPriority w:val="1"/>
    <w:rsid w:val="008C67AE"/>
    <w:rPr>
      <w:rFonts w:ascii="Calibri" w:eastAsia="Times New Roman" w:hAnsi="Calibri" w:cs="Times New Roman"/>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1/relationships/commentsExtended" Target="commentsExtended.xml"/><Relationship Id="rId5" Type="http://schemas.openxmlformats.org/officeDocument/2006/relationships/hyperlink" Target="mailto:a.kopzhassar@uo.kmg.kz" TargetMode="Externa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603</TotalTime>
  <Pages>12</Pages>
  <Words>3743</Words>
  <Characters>27442</Characters>
  <Application>Microsoft Office Word</Application>
  <DocSecurity>0</DocSecurity>
  <Lines>490</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13</cp:revision>
  <dcterms:created xsi:type="dcterms:W3CDTF">2026-02-12T06:47:00Z</dcterms:created>
  <dcterms:modified xsi:type="dcterms:W3CDTF">2026-02-23T06:09:00Z</dcterms:modified>
</cp:coreProperties>
</file>