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482"/>
        <w:gridCol w:w="816"/>
        <w:gridCol w:w="1468"/>
        <w:gridCol w:w="3517"/>
        <w:gridCol w:w="1443"/>
        <w:gridCol w:w="1194"/>
        <w:gridCol w:w="1141"/>
        <w:gridCol w:w="1074"/>
        <w:gridCol w:w="1431"/>
      </w:tblGrid>
      <w:tr w:rsidR="003934AD" w:rsidRPr="00AE00AD" w14:paraId="265BFB1F" w14:textId="77777777" w:rsidTr="003934AD">
        <w:trPr>
          <w:trHeight w:val="632"/>
        </w:trPr>
        <w:tc>
          <w:tcPr>
            <w:tcW w:w="546"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01"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41"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967"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861"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40"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21"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396"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27"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3934AD" w:rsidRPr="00AE00AD" w14:paraId="1566318D" w14:textId="77777777" w:rsidTr="003934AD">
        <w:trPr>
          <w:trHeight w:val="1715"/>
        </w:trPr>
        <w:tc>
          <w:tcPr>
            <w:tcW w:w="546" w:type="pct"/>
            <w:tcBorders>
              <w:top w:val="single" w:sz="5" w:space="0" w:color="000000"/>
              <w:left w:val="nil"/>
              <w:bottom w:val="single" w:sz="2" w:space="0" w:color="000000"/>
              <w:right w:val="single" w:sz="2" w:space="0" w:color="000000"/>
            </w:tcBorders>
            <w:vAlign w:val="center"/>
          </w:tcPr>
          <w:p w14:paraId="31BD9D18" w14:textId="075C81AC" w:rsidR="003934AD" w:rsidRPr="00AE00AD" w:rsidRDefault="003934AD" w:rsidP="003934AD">
            <w:pPr>
              <w:spacing w:after="0" w:line="259" w:lineRule="auto"/>
              <w:ind w:right="57" w:firstLine="0"/>
              <w:rPr>
                <w:sz w:val="20"/>
                <w:szCs w:val="20"/>
              </w:rPr>
            </w:pPr>
            <w:r w:rsidRPr="00AE00AD">
              <w:rPr>
                <w:sz w:val="20"/>
                <w:szCs w:val="20"/>
              </w:rPr>
              <w:t>5224</w:t>
            </w:r>
          </w:p>
        </w:tc>
        <w:tc>
          <w:tcPr>
            <w:tcW w:w="301" w:type="pct"/>
            <w:tcBorders>
              <w:top w:val="single" w:sz="5" w:space="0" w:color="000000"/>
              <w:left w:val="nil"/>
              <w:bottom w:val="single" w:sz="2" w:space="0" w:color="000000"/>
              <w:right w:val="single" w:sz="2" w:space="0" w:color="000000"/>
            </w:tcBorders>
            <w:vAlign w:val="center"/>
          </w:tcPr>
          <w:p w14:paraId="52406A79" w14:textId="30485F0C" w:rsidR="003934AD" w:rsidRPr="00AE00AD" w:rsidRDefault="003934AD" w:rsidP="003934AD">
            <w:pPr>
              <w:spacing w:after="0" w:line="259" w:lineRule="auto"/>
              <w:ind w:right="57" w:firstLine="0"/>
              <w:rPr>
                <w:sz w:val="20"/>
                <w:szCs w:val="20"/>
              </w:rPr>
            </w:pPr>
            <w:r w:rsidRPr="00B87DE1">
              <w:rPr>
                <w:sz w:val="20"/>
                <w:szCs w:val="20"/>
              </w:rPr>
              <w:t xml:space="preserve"> Р</w:t>
            </w:r>
          </w:p>
        </w:tc>
        <w:tc>
          <w:tcPr>
            <w:tcW w:w="541" w:type="pct"/>
            <w:tcBorders>
              <w:top w:val="single" w:sz="5" w:space="0" w:color="000000"/>
              <w:left w:val="single" w:sz="2" w:space="0" w:color="000000"/>
              <w:bottom w:val="single" w:sz="2" w:space="0" w:color="000000"/>
              <w:right w:val="single" w:sz="5" w:space="0" w:color="000000"/>
            </w:tcBorders>
            <w:vAlign w:val="center"/>
          </w:tcPr>
          <w:p w14:paraId="0C418C1C" w14:textId="54005B33" w:rsidR="003934AD" w:rsidRPr="00AE00AD" w:rsidRDefault="003934AD" w:rsidP="003934AD">
            <w:pPr>
              <w:spacing w:after="0" w:line="259" w:lineRule="auto"/>
              <w:ind w:right="57" w:firstLine="0"/>
              <w:rPr>
                <w:sz w:val="20"/>
                <w:szCs w:val="20"/>
              </w:rPr>
            </w:pPr>
            <w:r w:rsidRPr="00B87DE1">
              <w:rPr>
                <w:sz w:val="20"/>
                <w:szCs w:val="20"/>
              </w:rPr>
              <w:t>711219.900.000000</w:t>
            </w:r>
          </w:p>
        </w:tc>
        <w:tc>
          <w:tcPr>
            <w:tcW w:w="967" w:type="pct"/>
            <w:tcBorders>
              <w:top w:val="single" w:sz="5" w:space="0" w:color="000000"/>
              <w:left w:val="single" w:sz="5" w:space="0" w:color="000000"/>
              <w:bottom w:val="single" w:sz="2" w:space="0" w:color="000000"/>
              <w:right w:val="single" w:sz="5" w:space="0" w:color="000000"/>
            </w:tcBorders>
          </w:tcPr>
          <w:p w14:paraId="2CB78CEB" w14:textId="77777777" w:rsidR="003934AD" w:rsidRPr="00B87DE1" w:rsidRDefault="003934AD" w:rsidP="003934AD">
            <w:pPr>
              <w:spacing w:after="0" w:line="259" w:lineRule="auto"/>
              <w:ind w:firstLine="0"/>
              <w:rPr>
                <w:sz w:val="20"/>
                <w:szCs w:val="20"/>
              </w:rPr>
            </w:pPr>
          </w:p>
          <w:p w14:paraId="49A8D414" w14:textId="007B2268" w:rsidR="003934AD" w:rsidRPr="003934AD" w:rsidRDefault="003934AD" w:rsidP="003934AD">
            <w:pPr>
              <w:rPr>
                <w:color w:val="212529"/>
                <w:sz w:val="20"/>
                <w:szCs w:val="20"/>
                <w:lang w:val="kk-KZ"/>
              </w:rPr>
            </w:pPr>
            <w:r w:rsidRPr="00B87DE1">
              <w:rPr>
                <w:color w:val="212529"/>
                <w:sz w:val="20"/>
                <w:szCs w:val="20"/>
              </w:rPr>
              <w:t xml:space="preserve">Работы по </w:t>
            </w:r>
            <w:r w:rsidRPr="00B87DE1">
              <w:rPr>
                <w:color w:val="212529"/>
                <w:sz w:val="20"/>
                <w:szCs w:val="20"/>
                <w:lang w:val="kk-KZ"/>
              </w:rPr>
              <w:t>технологическому проектированию (разработка технологической части проектов строительства) </w:t>
            </w:r>
          </w:p>
        </w:tc>
        <w:tc>
          <w:tcPr>
            <w:tcW w:w="861" w:type="pct"/>
            <w:tcBorders>
              <w:top w:val="single" w:sz="5" w:space="0" w:color="000000"/>
              <w:left w:val="single" w:sz="5" w:space="0" w:color="000000"/>
              <w:bottom w:val="single" w:sz="2" w:space="0" w:color="000000"/>
              <w:right w:val="single" w:sz="5" w:space="0" w:color="000000"/>
            </w:tcBorders>
            <w:vAlign w:val="center"/>
          </w:tcPr>
          <w:p w14:paraId="74E48D37" w14:textId="77777777" w:rsidR="003934AD" w:rsidRPr="005E63ED" w:rsidRDefault="003934AD" w:rsidP="003934AD">
            <w:pPr>
              <w:jc w:val="left"/>
              <w:rPr>
                <w:color w:val="212529"/>
                <w:sz w:val="20"/>
                <w:szCs w:val="20"/>
                <w:lang w:val="kk-KZ"/>
              </w:rPr>
            </w:pPr>
            <w:r w:rsidRPr="00B87DE1">
              <w:rPr>
                <w:color w:val="212529"/>
                <w:sz w:val="20"/>
                <w:szCs w:val="20"/>
                <w:lang w:val="kk-KZ"/>
              </w:rPr>
              <w:t>Разработка проектно-сметной документации «</w:t>
            </w:r>
            <w:r w:rsidRPr="005E63ED">
              <w:rPr>
                <w:color w:val="212529"/>
                <w:sz w:val="20"/>
                <w:szCs w:val="20"/>
                <w:lang w:val="kk-KZ"/>
              </w:rPr>
              <w:t>Строительство системы поддержания пластового давления скважин и</w:t>
            </w:r>
          </w:p>
          <w:p w14:paraId="7F0A7E39" w14:textId="77777777" w:rsidR="003934AD" w:rsidRPr="00B87DE1" w:rsidRDefault="003934AD" w:rsidP="003934AD">
            <w:pPr>
              <w:jc w:val="left"/>
              <w:rPr>
                <w:color w:val="212529"/>
                <w:sz w:val="20"/>
                <w:szCs w:val="20"/>
                <w:lang w:val="kk-KZ"/>
              </w:rPr>
            </w:pPr>
            <w:r w:rsidRPr="005E63ED">
              <w:rPr>
                <w:color w:val="212529"/>
                <w:sz w:val="20"/>
                <w:szCs w:val="20"/>
                <w:lang w:val="kk-KZ"/>
              </w:rPr>
              <w:lastRenderedPageBreak/>
              <w:t>водоснабжения объектов м/р Урихтау</w:t>
            </w:r>
            <w:r>
              <w:rPr>
                <w:color w:val="212529"/>
                <w:sz w:val="20"/>
                <w:szCs w:val="20"/>
                <w:lang w:val="kk-KZ"/>
              </w:rPr>
              <w:t>»</w:t>
            </w:r>
            <w:r w:rsidRPr="00B87DE1">
              <w:rPr>
                <w:color w:val="212529"/>
                <w:sz w:val="20"/>
                <w:szCs w:val="20"/>
                <w:lang w:val="kk-KZ"/>
              </w:rPr>
              <w:t xml:space="preserve"> расположенного в Мугалжарском районе Актюбинской области.</w:t>
            </w:r>
          </w:p>
          <w:p w14:paraId="6CDCEF29" w14:textId="2ECC7656" w:rsidR="003934AD" w:rsidRPr="00AE00AD" w:rsidRDefault="003934AD" w:rsidP="003934AD">
            <w:pPr>
              <w:spacing w:after="0" w:line="259" w:lineRule="auto"/>
              <w:ind w:right="57" w:firstLine="0"/>
              <w:rPr>
                <w:sz w:val="20"/>
                <w:szCs w:val="20"/>
              </w:rPr>
            </w:pPr>
          </w:p>
        </w:tc>
        <w:tc>
          <w:tcPr>
            <w:tcW w:w="440" w:type="pct"/>
            <w:tcBorders>
              <w:top w:val="single" w:sz="5" w:space="0" w:color="000000"/>
              <w:left w:val="single" w:sz="5" w:space="0" w:color="000000"/>
              <w:bottom w:val="single" w:sz="2" w:space="0" w:color="000000"/>
              <w:right w:val="single" w:sz="5" w:space="0" w:color="000000"/>
            </w:tcBorders>
            <w:vAlign w:val="center"/>
          </w:tcPr>
          <w:p w14:paraId="72CFE74F" w14:textId="23F89572" w:rsidR="003934AD" w:rsidRPr="00AE00AD" w:rsidRDefault="003934AD" w:rsidP="003934AD">
            <w:pPr>
              <w:spacing w:after="0" w:line="259" w:lineRule="auto"/>
              <w:ind w:right="57" w:firstLine="0"/>
              <w:rPr>
                <w:sz w:val="20"/>
                <w:szCs w:val="20"/>
              </w:rPr>
            </w:pPr>
            <w:r w:rsidRPr="00B87DE1">
              <w:rPr>
                <w:sz w:val="20"/>
                <w:szCs w:val="20"/>
              </w:rPr>
              <w:lastRenderedPageBreak/>
              <w:t>1,0</w:t>
            </w:r>
          </w:p>
        </w:tc>
        <w:tc>
          <w:tcPr>
            <w:tcW w:w="421" w:type="pct"/>
            <w:tcBorders>
              <w:top w:val="single" w:sz="5" w:space="0" w:color="000000"/>
              <w:left w:val="single" w:sz="5" w:space="0" w:color="000000"/>
              <w:bottom w:val="single" w:sz="2" w:space="0" w:color="000000"/>
              <w:right w:val="single" w:sz="5" w:space="0" w:color="000000"/>
            </w:tcBorders>
            <w:vAlign w:val="center"/>
          </w:tcPr>
          <w:p w14:paraId="2CE9C5CD" w14:textId="53D553D9" w:rsidR="003934AD" w:rsidRPr="00AE00AD" w:rsidRDefault="003934AD" w:rsidP="003934AD">
            <w:pPr>
              <w:spacing w:after="0" w:line="259" w:lineRule="auto"/>
              <w:ind w:right="57" w:firstLine="0"/>
              <w:rPr>
                <w:sz w:val="20"/>
                <w:szCs w:val="20"/>
              </w:rPr>
            </w:pPr>
            <w:r>
              <w:rPr>
                <w:sz w:val="20"/>
                <w:szCs w:val="20"/>
              </w:rPr>
              <w:t>71</w:t>
            </w:r>
            <w:r w:rsidRPr="002468D5">
              <w:rPr>
                <w:sz w:val="20"/>
                <w:szCs w:val="20"/>
              </w:rPr>
              <w:t xml:space="preserve"> </w:t>
            </w:r>
            <w:r>
              <w:rPr>
                <w:sz w:val="20"/>
                <w:szCs w:val="20"/>
              </w:rPr>
              <w:t>104</w:t>
            </w:r>
            <w:r w:rsidRPr="002468D5">
              <w:rPr>
                <w:sz w:val="20"/>
                <w:szCs w:val="20"/>
              </w:rPr>
              <w:t xml:space="preserve"> 000</w:t>
            </w:r>
          </w:p>
        </w:tc>
        <w:tc>
          <w:tcPr>
            <w:tcW w:w="396" w:type="pct"/>
            <w:tcBorders>
              <w:top w:val="single" w:sz="5" w:space="0" w:color="000000"/>
              <w:left w:val="single" w:sz="5" w:space="0" w:color="000000"/>
              <w:bottom w:val="single" w:sz="2" w:space="0" w:color="000000"/>
              <w:right w:val="single" w:sz="5" w:space="0" w:color="000000"/>
            </w:tcBorders>
          </w:tcPr>
          <w:p w14:paraId="1F5605F1" w14:textId="74BF84A0" w:rsidR="003934AD" w:rsidRPr="00AE00AD" w:rsidRDefault="003934AD" w:rsidP="003934AD">
            <w:pPr>
              <w:spacing w:after="0" w:line="259" w:lineRule="auto"/>
              <w:ind w:right="57" w:firstLine="0"/>
              <w:rPr>
                <w:sz w:val="20"/>
                <w:szCs w:val="20"/>
              </w:rPr>
            </w:pPr>
            <w:r w:rsidRPr="00B87DE1">
              <w:rPr>
                <w:sz w:val="20"/>
                <w:szCs w:val="20"/>
              </w:rPr>
              <w:t>1% от суммы, указанной для закупки ТРУ</w:t>
            </w:r>
          </w:p>
        </w:tc>
        <w:tc>
          <w:tcPr>
            <w:tcW w:w="527" w:type="pct"/>
            <w:tcBorders>
              <w:top w:val="single" w:sz="5" w:space="0" w:color="000000"/>
              <w:left w:val="single" w:sz="5" w:space="0" w:color="000000"/>
              <w:bottom w:val="single" w:sz="2" w:space="0" w:color="000000"/>
              <w:right w:val="single" w:sz="5" w:space="0" w:color="000000"/>
            </w:tcBorders>
          </w:tcPr>
          <w:p w14:paraId="422EB86E" w14:textId="52492554" w:rsidR="003934AD" w:rsidRPr="00AE00AD" w:rsidRDefault="003934AD" w:rsidP="003934AD">
            <w:pPr>
              <w:spacing w:after="0" w:line="259" w:lineRule="auto"/>
              <w:ind w:right="57" w:firstLine="0"/>
              <w:rPr>
                <w:sz w:val="20"/>
                <w:szCs w:val="20"/>
              </w:rPr>
            </w:pPr>
            <w:r w:rsidRPr="003934AD">
              <w:rPr>
                <w:sz w:val="20"/>
                <w:szCs w:val="20"/>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7DB82167" w14:textId="77777777" w:rsidR="003934AD" w:rsidRPr="003934AD" w:rsidRDefault="003934AD" w:rsidP="003934AD">
      <w:pPr>
        <w:pStyle w:val="a7"/>
        <w:numPr>
          <w:ilvl w:val="2"/>
          <w:numId w:val="1"/>
        </w:numPr>
        <w:spacing w:after="0"/>
        <w:ind w:left="0" w:firstLine="0"/>
        <w:rPr>
          <w:sz w:val="24"/>
        </w:rPr>
      </w:pPr>
      <w:r w:rsidRPr="003934AD">
        <w:rPr>
          <w:sz w:val="24"/>
        </w:rPr>
        <w:lastRenderedPageBreak/>
        <w:t>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10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2B286F37" w14:textId="09D64F98" w:rsidR="003934AD" w:rsidRPr="003934AD" w:rsidRDefault="003934AD" w:rsidP="003934AD">
      <w:pPr>
        <w:pStyle w:val="a7"/>
        <w:spacing w:after="0"/>
        <w:ind w:left="0" w:firstLine="0"/>
        <w:rPr>
          <w:sz w:val="24"/>
        </w:rPr>
      </w:pPr>
      <w:r w:rsidRPr="003934AD">
        <w:rPr>
          <w:sz w:val="24"/>
        </w:rPr>
        <w:t>Потенциальный должен приложить к тендерной заявке заверенные копии актов выполненных работ и ЭСФ.</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587" w:type="dxa"/>
        <w:tblInd w:w="3" w:type="dxa"/>
        <w:tblCellMar>
          <w:left w:w="18" w:type="dxa"/>
          <w:right w:w="84" w:type="dxa"/>
        </w:tblCellMar>
        <w:tblLook w:val="04A0" w:firstRow="1" w:lastRow="0" w:firstColumn="1" w:lastColumn="0" w:noHBand="0" w:noVBand="1"/>
      </w:tblPr>
      <w:tblGrid>
        <w:gridCol w:w="1977"/>
        <w:gridCol w:w="9090"/>
        <w:gridCol w:w="1080"/>
        <w:gridCol w:w="1440"/>
      </w:tblGrid>
      <w:tr w:rsidR="003934AD" w:rsidRPr="003934AD" w14:paraId="1B57311A" w14:textId="77777777" w:rsidTr="003934AD">
        <w:trPr>
          <w:trHeight w:val="632"/>
        </w:trPr>
        <w:tc>
          <w:tcPr>
            <w:tcW w:w="1977" w:type="dxa"/>
            <w:tcBorders>
              <w:top w:val="single" w:sz="2" w:space="0" w:color="000000"/>
              <w:left w:val="nil"/>
              <w:bottom w:val="single" w:sz="5" w:space="0" w:color="000000"/>
              <w:right w:val="single" w:sz="5" w:space="0" w:color="000000"/>
            </w:tcBorders>
          </w:tcPr>
          <w:p w14:paraId="44F57FD4" w14:textId="77777777" w:rsidR="003934AD" w:rsidRPr="003934AD" w:rsidRDefault="003934AD" w:rsidP="003934AD">
            <w:pPr>
              <w:spacing w:after="0" w:line="259" w:lineRule="auto"/>
              <w:ind w:firstLine="0"/>
              <w:jc w:val="left"/>
            </w:pPr>
            <w:r w:rsidRPr="003934AD">
              <w:rPr>
                <w:b/>
              </w:rPr>
              <w:t>Специалисты, обладающие квалификацией и/или опытом работы</w:t>
            </w:r>
          </w:p>
        </w:tc>
        <w:tc>
          <w:tcPr>
            <w:tcW w:w="9090" w:type="dxa"/>
            <w:tcBorders>
              <w:top w:val="single" w:sz="2" w:space="0" w:color="000000"/>
              <w:left w:val="single" w:sz="5" w:space="0" w:color="000000"/>
              <w:bottom w:val="single" w:sz="5" w:space="0" w:color="000000"/>
              <w:right w:val="single" w:sz="5" w:space="0" w:color="000000"/>
            </w:tcBorders>
            <w:vAlign w:val="center"/>
          </w:tcPr>
          <w:p w14:paraId="1935B798" w14:textId="77777777" w:rsidR="003934AD" w:rsidRPr="003934AD" w:rsidRDefault="003934AD" w:rsidP="003934AD">
            <w:pPr>
              <w:spacing w:after="0" w:line="259" w:lineRule="auto"/>
              <w:ind w:left="3" w:firstLine="0"/>
              <w:jc w:val="left"/>
            </w:pPr>
            <w:r w:rsidRPr="003934AD">
              <w:rPr>
                <w:b/>
              </w:rPr>
              <w:t>Документы, подтверждающие квалификацию и/или опыт работы специалистов</w:t>
            </w:r>
          </w:p>
        </w:tc>
        <w:tc>
          <w:tcPr>
            <w:tcW w:w="1080" w:type="dxa"/>
            <w:tcBorders>
              <w:top w:val="single" w:sz="2" w:space="0" w:color="000000"/>
              <w:left w:val="single" w:sz="5" w:space="0" w:color="000000"/>
              <w:bottom w:val="single" w:sz="5" w:space="0" w:color="000000"/>
              <w:right w:val="single" w:sz="5" w:space="0" w:color="000000"/>
            </w:tcBorders>
            <w:vAlign w:val="center"/>
          </w:tcPr>
          <w:p w14:paraId="3CD0F1F3" w14:textId="77777777" w:rsidR="003934AD" w:rsidRPr="003934AD" w:rsidRDefault="003934AD" w:rsidP="003934AD">
            <w:pPr>
              <w:spacing w:after="0" w:line="259" w:lineRule="auto"/>
              <w:ind w:left="3" w:firstLine="0"/>
              <w:jc w:val="left"/>
            </w:pPr>
            <w:r w:rsidRPr="003934AD">
              <w:rPr>
                <w:b/>
              </w:rPr>
              <w:t>Количество</w:t>
            </w:r>
          </w:p>
        </w:tc>
        <w:tc>
          <w:tcPr>
            <w:tcW w:w="1440" w:type="dxa"/>
            <w:tcBorders>
              <w:top w:val="single" w:sz="2" w:space="0" w:color="000000"/>
              <w:left w:val="single" w:sz="5" w:space="0" w:color="000000"/>
              <w:bottom w:val="single" w:sz="5" w:space="0" w:color="000000"/>
              <w:right w:val="single" w:sz="2" w:space="0" w:color="000000"/>
            </w:tcBorders>
          </w:tcPr>
          <w:p w14:paraId="36DEC5CE" w14:textId="77777777" w:rsidR="003934AD" w:rsidRPr="003934AD" w:rsidRDefault="003934AD" w:rsidP="003934AD">
            <w:pPr>
              <w:spacing w:after="0" w:line="259" w:lineRule="auto"/>
              <w:ind w:left="3" w:firstLine="0"/>
              <w:jc w:val="left"/>
            </w:pPr>
            <w:r w:rsidRPr="003934AD">
              <w:rPr>
                <w:b/>
              </w:rPr>
              <w:t>Опыт работы</w:t>
            </w:r>
          </w:p>
        </w:tc>
      </w:tr>
      <w:tr w:rsidR="003934AD" w:rsidRPr="003934AD" w14:paraId="36CCE7AF" w14:textId="77777777" w:rsidTr="003934AD">
        <w:trPr>
          <w:trHeight w:val="486"/>
        </w:trPr>
        <w:tc>
          <w:tcPr>
            <w:tcW w:w="1977" w:type="dxa"/>
            <w:tcBorders>
              <w:top w:val="single" w:sz="5" w:space="0" w:color="000000"/>
              <w:left w:val="nil"/>
              <w:bottom w:val="single" w:sz="4" w:space="0" w:color="auto"/>
              <w:right w:val="single" w:sz="5" w:space="0" w:color="000000"/>
            </w:tcBorders>
          </w:tcPr>
          <w:p w14:paraId="7B036DEF" w14:textId="77777777" w:rsidR="003934AD" w:rsidRPr="003934AD" w:rsidRDefault="003934AD" w:rsidP="003934AD">
            <w:pPr>
              <w:spacing w:after="0" w:line="259" w:lineRule="auto"/>
              <w:ind w:firstLine="0"/>
              <w:jc w:val="left"/>
              <w:rPr>
                <w:szCs w:val="18"/>
              </w:rPr>
            </w:pPr>
            <w:r w:rsidRPr="003934AD">
              <w:rPr>
                <w:szCs w:val="18"/>
              </w:rPr>
              <w:t>Главный инженер проекта</w:t>
            </w:r>
          </w:p>
        </w:tc>
        <w:tc>
          <w:tcPr>
            <w:tcW w:w="9090" w:type="dxa"/>
            <w:tcBorders>
              <w:top w:val="single" w:sz="5" w:space="0" w:color="000000"/>
              <w:left w:val="single" w:sz="5" w:space="0" w:color="000000"/>
              <w:bottom w:val="single" w:sz="4" w:space="0" w:color="auto"/>
              <w:right w:val="single" w:sz="5" w:space="0" w:color="000000"/>
            </w:tcBorders>
          </w:tcPr>
          <w:p w14:paraId="4D9D7291" w14:textId="77777777" w:rsidR="003934AD" w:rsidRPr="003934AD" w:rsidRDefault="003934AD" w:rsidP="003934AD">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по специальности в области строительства. Копия трудовой книжки или трудового договора, подтверждающая стаж работы</w:t>
            </w:r>
          </w:p>
        </w:tc>
        <w:tc>
          <w:tcPr>
            <w:tcW w:w="1080" w:type="dxa"/>
            <w:tcBorders>
              <w:top w:val="single" w:sz="5" w:space="0" w:color="000000"/>
              <w:left w:val="single" w:sz="5" w:space="0" w:color="000000"/>
              <w:bottom w:val="single" w:sz="4" w:space="0" w:color="auto"/>
              <w:right w:val="single" w:sz="5" w:space="0" w:color="000000"/>
            </w:tcBorders>
            <w:vAlign w:val="center"/>
          </w:tcPr>
          <w:p w14:paraId="2C41118C" w14:textId="77777777" w:rsidR="003934AD" w:rsidRPr="003934AD" w:rsidRDefault="003934AD" w:rsidP="003934AD">
            <w:pPr>
              <w:spacing w:after="0" w:line="259" w:lineRule="auto"/>
              <w:jc w:val="left"/>
              <w:rPr>
                <w:szCs w:val="18"/>
              </w:rPr>
            </w:pPr>
            <w:r w:rsidRPr="003934AD">
              <w:rPr>
                <w:szCs w:val="18"/>
              </w:rPr>
              <w:t>1</w:t>
            </w:r>
          </w:p>
        </w:tc>
        <w:tc>
          <w:tcPr>
            <w:tcW w:w="1440" w:type="dxa"/>
            <w:tcBorders>
              <w:top w:val="single" w:sz="5" w:space="0" w:color="000000"/>
              <w:left w:val="single" w:sz="5" w:space="0" w:color="000000"/>
              <w:bottom w:val="single" w:sz="4" w:space="0" w:color="auto"/>
              <w:right w:val="single" w:sz="2" w:space="0" w:color="000000"/>
            </w:tcBorders>
            <w:vAlign w:val="center"/>
          </w:tcPr>
          <w:p w14:paraId="574AFEC6" w14:textId="77777777" w:rsidR="003934AD" w:rsidRPr="003934AD" w:rsidRDefault="003934AD" w:rsidP="003934AD">
            <w:pPr>
              <w:spacing w:after="0" w:line="259" w:lineRule="auto"/>
              <w:ind w:left="3" w:firstLine="0"/>
              <w:jc w:val="left"/>
              <w:rPr>
                <w:szCs w:val="18"/>
              </w:rPr>
            </w:pPr>
            <w:r w:rsidRPr="003934AD">
              <w:rPr>
                <w:szCs w:val="18"/>
              </w:rPr>
              <w:t xml:space="preserve">5 лет </w:t>
            </w:r>
          </w:p>
          <w:p w14:paraId="731CE6BD" w14:textId="77777777" w:rsidR="003934AD" w:rsidRPr="003934AD" w:rsidRDefault="003934AD" w:rsidP="003934AD">
            <w:pPr>
              <w:spacing w:after="0" w:line="259" w:lineRule="auto"/>
              <w:ind w:left="3" w:firstLine="0"/>
              <w:jc w:val="left"/>
              <w:rPr>
                <w:szCs w:val="18"/>
                <w:lang w:val="en-US"/>
              </w:rPr>
            </w:pPr>
          </w:p>
        </w:tc>
      </w:tr>
      <w:tr w:rsidR="003934AD" w:rsidRPr="003934AD" w14:paraId="2788B89C" w14:textId="77777777" w:rsidTr="003934AD">
        <w:trPr>
          <w:trHeight w:val="133"/>
        </w:trPr>
        <w:tc>
          <w:tcPr>
            <w:tcW w:w="1977" w:type="dxa"/>
            <w:tcBorders>
              <w:top w:val="single" w:sz="4" w:space="0" w:color="auto"/>
              <w:left w:val="nil"/>
              <w:bottom w:val="single" w:sz="4" w:space="0" w:color="auto"/>
              <w:right w:val="single" w:sz="5" w:space="0" w:color="000000"/>
            </w:tcBorders>
          </w:tcPr>
          <w:p w14:paraId="6DE0E456" w14:textId="77777777" w:rsidR="003934AD" w:rsidRPr="003934AD" w:rsidRDefault="003934AD" w:rsidP="003934AD">
            <w:pPr>
              <w:spacing w:after="0" w:line="259" w:lineRule="auto"/>
              <w:jc w:val="left"/>
              <w:rPr>
                <w:szCs w:val="18"/>
              </w:rPr>
            </w:pPr>
            <w:r w:rsidRPr="003934AD">
              <w:rPr>
                <w:szCs w:val="18"/>
              </w:rPr>
              <w:t>Инженер-энергетик или электрик</w:t>
            </w:r>
          </w:p>
        </w:tc>
        <w:tc>
          <w:tcPr>
            <w:tcW w:w="9090" w:type="dxa"/>
            <w:tcBorders>
              <w:top w:val="single" w:sz="4" w:space="0" w:color="auto"/>
              <w:left w:val="single" w:sz="5" w:space="0" w:color="000000"/>
              <w:bottom w:val="single" w:sz="4" w:space="0" w:color="auto"/>
              <w:right w:val="single" w:sz="5" w:space="0" w:color="000000"/>
            </w:tcBorders>
          </w:tcPr>
          <w:p w14:paraId="67A4A72F" w14:textId="77777777" w:rsidR="003934AD" w:rsidRPr="003934AD" w:rsidRDefault="003934AD" w:rsidP="003934AD">
            <w:pPr>
              <w:numPr>
                <w:ilvl w:val="0"/>
                <w:numId w:val="9"/>
              </w:numPr>
              <w:spacing w:after="0" w:line="259" w:lineRule="auto"/>
              <w:ind w:left="3"/>
              <w:contextualSpacing/>
              <w:jc w:val="left"/>
              <w:rPr>
                <w:rFonts w:eastAsia="Calibri"/>
                <w:color w:val="auto"/>
                <w:kern w:val="0"/>
                <w:szCs w:val="18"/>
                <w:lang w:eastAsia="en-US"/>
                <w14:ligatures w14:val="none"/>
              </w:rPr>
            </w:pPr>
            <w:r w:rsidRPr="003934AD">
              <w:rPr>
                <w:rFonts w:eastAsia="Calibri"/>
                <w:color w:val="auto"/>
                <w:kern w:val="0"/>
                <w:szCs w:val="18"/>
                <w:lang w:eastAsia="en-US"/>
                <w14:ligatures w14:val="none"/>
              </w:rPr>
              <w:t>Копия диплома о высшем образовании в области электрики или электроэнергетики.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32AE9E4D" w14:textId="77777777" w:rsidR="003934AD" w:rsidRPr="003934AD" w:rsidRDefault="003934AD" w:rsidP="003934AD">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6FFBBCD9" w14:textId="77777777" w:rsidR="003934AD" w:rsidRPr="003934AD" w:rsidRDefault="003934AD" w:rsidP="003934AD">
            <w:pPr>
              <w:spacing w:after="0" w:line="259" w:lineRule="auto"/>
              <w:ind w:left="3"/>
              <w:jc w:val="left"/>
              <w:rPr>
                <w:szCs w:val="18"/>
              </w:rPr>
            </w:pPr>
            <w:r w:rsidRPr="003934AD">
              <w:rPr>
                <w:szCs w:val="18"/>
              </w:rPr>
              <w:t>3 года</w:t>
            </w:r>
          </w:p>
        </w:tc>
      </w:tr>
      <w:tr w:rsidR="003934AD" w:rsidRPr="003934AD" w14:paraId="220DBA5C" w14:textId="77777777" w:rsidTr="003934AD">
        <w:trPr>
          <w:trHeight w:val="150"/>
        </w:trPr>
        <w:tc>
          <w:tcPr>
            <w:tcW w:w="1977" w:type="dxa"/>
            <w:tcBorders>
              <w:top w:val="single" w:sz="4" w:space="0" w:color="auto"/>
              <w:left w:val="nil"/>
              <w:bottom w:val="single" w:sz="4" w:space="0" w:color="auto"/>
              <w:right w:val="single" w:sz="5" w:space="0" w:color="000000"/>
            </w:tcBorders>
          </w:tcPr>
          <w:p w14:paraId="431F022D" w14:textId="77777777" w:rsidR="003934AD" w:rsidRPr="003934AD" w:rsidRDefault="003934AD" w:rsidP="003934AD">
            <w:pPr>
              <w:spacing w:after="0" w:line="259" w:lineRule="auto"/>
              <w:jc w:val="left"/>
              <w:rPr>
                <w:szCs w:val="18"/>
              </w:rPr>
            </w:pPr>
            <w:r w:rsidRPr="003934AD">
              <w:rPr>
                <w:szCs w:val="18"/>
              </w:rPr>
              <w:t>Инженер-строитель</w:t>
            </w:r>
          </w:p>
        </w:tc>
        <w:tc>
          <w:tcPr>
            <w:tcW w:w="9090" w:type="dxa"/>
            <w:tcBorders>
              <w:top w:val="single" w:sz="4" w:space="0" w:color="auto"/>
              <w:left w:val="single" w:sz="5" w:space="0" w:color="000000"/>
              <w:bottom w:val="single" w:sz="4" w:space="0" w:color="auto"/>
              <w:right w:val="single" w:sz="5" w:space="0" w:color="000000"/>
            </w:tcBorders>
          </w:tcPr>
          <w:p w14:paraId="17A35975" w14:textId="77777777" w:rsidR="003934AD" w:rsidRPr="003934AD" w:rsidRDefault="003934AD" w:rsidP="003934AD">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по специальности в области строительства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70ABA090" w14:textId="77777777" w:rsidR="003934AD" w:rsidRPr="003934AD" w:rsidRDefault="003934AD" w:rsidP="003934AD">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033BA3F6" w14:textId="77777777" w:rsidR="003934AD" w:rsidRPr="003934AD" w:rsidRDefault="003934AD" w:rsidP="003934AD">
            <w:pPr>
              <w:spacing w:after="0" w:line="259" w:lineRule="auto"/>
              <w:ind w:left="3"/>
              <w:jc w:val="left"/>
              <w:rPr>
                <w:szCs w:val="18"/>
              </w:rPr>
            </w:pPr>
            <w:r w:rsidRPr="003934AD">
              <w:rPr>
                <w:szCs w:val="18"/>
              </w:rPr>
              <w:t>3 года</w:t>
            </w:r>
          </w:p>
        </w:tc>
      </w:tr>
      <w:tr w:rsidR="003934AD" w:rsidRPr="003934AD" w14:paraId="3C4DBB10" w14:textId="77777777" w:rsidTr="003934AD">
        <w:trPr>
          <w:trHeight w:val="165"/>
        </w:trPr>
        <w:tc>
          <w:tcPr>
            <w:tcW w:w="1977" w:type="dxa"/>
            <w:tcBorders>
              <w:top w:val="single" w:sz="4" w:space="0" w:color="auto"/>
              <w:left w:val="nil"/>
              <w:bottom w:val="single" w:sz="4" w:space="0" w:color="auto"/>
              <w:right w:val="single" w:sz="5" w:space="0" w:color="000000"/>
            </w:tcBorders>
          </w:tcPr>
          <w:p w14:paraId="03B3126D" w14:textId="77777777" w:rsidR="003934AD" w:rsidRPr="003934AD" w:rsidRDefault="003934AD" w:rsidP="003934AD">
            <w:pPr>
              <w:spacing w:after="0" w:line="259" w:lineRule="auto"/>
              <w:ind w:firstLine="0"/>
              <w:jc w:val="left"/>
              <w:rPr>
                <w:szCs w:val="18"/>
              </w:rPr>
            </w:pPr>
            <w:r w:rsidRPr="003934AD">
              <w:rPr>
                <w:szCs w:val="18"/>
              </w:rPr>
              <w:t>Инженер-сметчик</w:t>
            </w:r>
          </w:p>
        </w:tc>
        <w:tc>
          <w:tcPr>
            <w:tcW w:w="9090" w:type="dxa"/>
            <w:tcBorders>
              <w:top w:val="single" w:sz="4" w:space="0" w:color="auto"/>
              <w:left w:val="single" w:sz="5" w:space="0" w:color="000000"/>
              <w:bottom w:val="single" w:sz="4" w:space="0" w:color="auto"/>
              <w:right w:val="single" w:sz="5" w:space="0" w:color="000000"/>
            </w:tcBorders>
          </w:tcPr>
          <w:p w14:paraId="07D69028" w14:textId="77777777" w:rsidR="003934AD" w:rsidRPr="003934AD" w:rsidRDefault="003934AD" w:rsidP="003934AD">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в области строительства или экономики.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4D64F69E" w14:textId="77777777" w:rsidR="003934AD" w:rsidRPr="003934AD" w:rsidRDefault="003934AD" w:rsidP="003934AD">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3555EC0F" w14:textId="77777777" w:rsidR="003934AD" w:rsidRPr="003934AD" w:rsidRDefault="003934AD" w:rsidP="003934AD">
            <w:pPr>
              <w:spacing w:after="0" w:line="259" w:lineRule="auto"/>
              <w:ind w:left="3"/>
              <w:jc w:val="left"/>
              <w:rPr>
                <w:szCs w:val="18"/>
                <w:lang w:val="en-US"/>
              </w:rPr>
            </w:pPr>
            <w:r w:rsidRPr="003934AD">
              <w:rPr>
                <w:szCs w:val="18"/>
              </w:rPr>
              <w:t xml:space="preserve">3 </w:t>
            </w:r>
            <w:r w:rsidRPr="003934AD">
              <w:rPr>
                <w:szCs w:val="18"/>
                <w:lang w:val="kk-KZ"/>
              </w:rPr>
              <w:t>года</w:t>
            </w:r>
          </w:p>
        </w:tc>
      </w:tr>
      <w:tr w:rsidR="003934AD" w:rsidRPr="003934AD" w14:paraId="208F0900" w14:textId="77777777" w:rsidTr="003934AD">
        <w:trPr>
          <w:trHeight w:val="150"/>
        </w:trPr>
        <w:tc>
          <w:tcPr>
            <w:tcW w:w="1977" w:type="dxa"/>
            <w:tcBorders>
              <w:top w:val="single" w:sz="4" w:space="0" w:color="auto"/>
              <w:left w:val="nil"/>
              <w:bottom w:val="single" w:sz="4" w:space="0" w:color="auto"/>
              <w:right w:val="single" w:sz="5" w:space="0" w:color="000000"/>
            </w:tcBorders>
          </w:tcPr>
          <w:p w14:paraId="0D0E36D2" w14:textId="23F6B0BD" w:rsidR="003934AD" w:rsidRPr="003934AD" w:rsidRDefault="003934AD" w:rsidP="003934AD">
            <w:pPr>
              <w:spacing w:after="0" w:line="259" w:lineRule="auto"/>
              <w:jc w:val="left"/>
              <w:rPr>
                <w:szCs w:val="18"/>
                <w:lang w:val="kk-KZ"/>
              </w:rPr>
            </w:pPr>
            <w:r w:rsidRPr="003934AD">
              <w:rPr>
                <w:szCs w:val="18"/>
              </w:rPr>
              <w:t>Инженер ВК</w:t>
            </w:r>
            <w:r w:rsidR="00CF08BE">
              <w:rPr>
                <w:szCs w:val="18"/>
              </w:rPr>
              <w:t xml:space="preserve"> (водоснабжение и канализация)</w:t>
            </w:r>
          </w:p>
        </w:tc>
        <w:tc>
          <w:tcPr>
            <w:tcW w:w="9090" w:type="dxa"/>
            <w:tcBorders>
              <w:top w:val="single" w:sz="4" w:space="0" w:color="auto"/>
              <w:left w:val="single" w:sz="5" w:space="0" w:color="000000"/>
              <w:bottom w:val="single" w:sz="4" w:space="0" w:color="auto"/>
              <w:right w:val="single" w:sz="5" w:space="0" w:color="000000"/>
            </w:tcBorders>
          </w:tcPr>
          <w:p w14:paraId="7559E03E" w14:textId="77777777" w:rsidR="003934AD" w:rsidRPr="003934AD" w:rsidRDefault="003934AD" w:rsidP="003934AD">
            <w:pPr>
              <w:spacing w:after="0" w:line="259" w:lineRule="auto"/>
              <w:ind w:left="3"/>
              <w:jc w:val="left"/>
              <w:rPr>
                <w:rFonts w:eastAsia="Calibri"/>
                <w:color w:val="auto"/>
                <w:kern w:val="0"/>
                <w:szCs w:val="18"/>
                <w:lang w:eastAsia="en-US"/>
              </w:rPr>
            </w:pPr>
            <w:r w:rsidRPr="003934AD">
              <w:rPr>
                <w:rFonts w:eastAsia="Calibri"/>
                <w:color w:val="auto"/>
                <w:kern w:val="0"/>
                <w:szCs w:val="18"/>
                <w:lang w:eastAsia="en-US"/>
              </w:rPr>
              <w:t>Копия диплома о высшем образовании в инженерно-технической или строительной области.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13FC8F15" w14:textId="77777777" w:rsidR="003934AD" w:rsidRPr="003934AD" w:rsidRDefault="003934AD" w:rsidP="003934AD">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5B09C31D" w14:textId="77777777" w:rsidR="003934AD" w:rsidRPr="003934AD" w:rsidRDefault="003934AD" w:rsidP="003934AD">
            <w:pPr>
              <w:spacing w:after="0" w:line="259" w:lineRule="auto"/>
              <w:ind w:left="3"/>
              <w:jc w:val="left"/>
              <w:rPr>
                <w:szCs w:val="18"/>
              </w:rPr>
            </w:pPr>
            <w:r w:rsidRPr="003934AD">
              <w:rPr>
                <w:szCs w:val="18"/>
              </w:rPr>
              <w:t>3 года</w:t>
            </w:r>
          </w:p>
        </w:tc>
      </w:tr>
      <w:tr w:rsidR="003934AD" w:rsidRPr="003934AD" w14:paraId="61EAD458" w14:textId="77777777" w:rsidTr="003934AD">
        <w:trPr>
          <w:trHeight w:val="150"/>
        </w:trPr>
        <w:tc>
          <w:tcPr>
            <w:tcW w:w="1977" w:type="dxa"/>
            <w:tcBorders>
              <w:top w:val="single" w:sz="4" w:space="0" w:color="auto"/>
              <w:left w:val="nil"/>
              <w:bottom w:val="single" w:sz="4" w:space="0" w:color="auto"/>
              <w:right w:val="single" w:sz="5" w:space="0" w:color="000000"/>
            </w:tcBorders>
          </w:tcPr>
          <w:p w14:paraId="2A591A32" w14:textId="77777777" w:rsidR="003934AD" w:rsidRPr="003934AD" w:rsidRDefault="003934AD" w:rsidP="003934AD">
            <w:pPr>
              <w:spacing w:after="0" w:line="259" w:lineRule="auto"/>
              <w:jc w:val="left"/>
              <w:rPr>
                <w:szCs w:val="18"/>
              </w:rPr>
            </w:pPr>
            <w:r w:rsidRPr="003934AD">
              <w:rPr>
                <w:szCs w:val="18"/>
              </w:rPr>
              <w:t>Инженер-технолог</w:t>
            </w:r>
          </w:p>
        </w:tc>
        <w:tc>
          <w:tcPr>
            <w:tcW w:w="9090" w:type="dxa"/>
            <w:tcBorders>
              <w:top w:val="single" w:sz="4" w:space="0" w:color="auto"/>
              <w:left w:val="single" w:sz="5" w:space="0" w:color="000000"/>
              <w:bottom w:val="single" w:sz="4" w:space="0" w:color="auto"/>
              <w:right w:val="single" w:sz="5" w:space="0" w:color="000000"/>
            </w:tcBorders>
          </w:tcPr>
          <w:p w14:paraId="374EB7CC" w14:textId="77777777" w:rsidR="003934AD" w:rsidRPr="003934AD" w:rsidRDefault="003934AD" w:rsidP="003934AD">
            <w:pPr>
              <w:spacing w:after="0" w:line="259" w:lineRule="auto"/>
              <w:ind w:left="3"/>
              <w:jc w:val="left"/>
              <w:rPr>
                <w:rFonts w:eastAsia="Calibri"/>
                <w:color w:val="auto"/>
                <w:kern w:val="0"/>
                <w:szCs w:val="18"/>
                <w:lang w:eastAsia="en-US"/>
              </w:rPr>
            </w:pPr>
            <w:r w:rsidRPr="003934AD">
              <w:rPr>
                <w:rFonts w:eastAsia="Calibri"/>
                <w:color w:val="auto"/>
                <w:kern w:val="0"/>
                <w:szCs w:val="18"/>
                <w:lang w:eastAsia="en-US"/>
              </w:rPr>
              <w:t>Копия диплома о высшем образовании в инженерно-технической или строительной области.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61EDD976" w14:textId="77777777" w:rsidR="003934AD" w:rsidRPr="003934AD" w:rsidRDefault="003934AD" w:rsidP="003934AD">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7CBC6139" w14:textId="77777777" w:rsidR="003934AD" w:rsidRPr="003934AD" w:rsidRDefault="003934AD" w:rsidP="003934AD">
            <w:pPr>
              <w:spacing w:after="0" w:line="259" w:lineRule="auto"/>
              <w:ind w:left="3"/>
              <w:jc w:val="left"/>
              <w:rPr>
                <w:szCs w:val="18"/>
              </w:rPr>
            </w:pPr>
            <w:r w:rsidRPr="003934AD">
              <w:rPr>
                <w:szCs w:val="18"/>
              </w:rPr>
              <w:t>3 года</w:t>
            </w:r>
          </w:p>
        </w:tc>
      </w:tr>
    </w:tbl>
    <w:p w14:paraId="7F208833" w14:textId="77777777" w:rsidR="00350F87" w:rsidRPr="00AE00AD" w:rsidRDefault="00350F87" w:rsidP="00350F87">
      <w:pPr>
        <w:pStyle w:val="a7"/>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67808E7C" w14:textId="6D95D3A7" w:rsidR="003934AD" w:rsidRPr="003934AD" w:rsidRDefault="003934AD" w:rsidP="003934AD">
      <w:pPr>
        <w:pStyle w:val="a7"/>
        <w:numPr>
          <w:ilvl w:val="2"/>
          <w:numId w:val="1"/>
        </w:numPr>
        <w:spacing w:after="0" w:line="240" w:lineRule="auto"/>
        <w:ind w:left="0" w:firstLine="0"/>
        <w:rPr>
          <w:sz w:val="24"/>
        </w:rPr>
      </w:pPr>
      <w:r w:rsidRPr="003934AD">
        <w:rPr>
          <w:sz w:val="24"/>
        </w:rPr>
        <w:t>Подрядчик должен иметь лицензию на проектную деятельность не менее 2 категорий со следующими подвидами.</w:t>
      </w:r>
    </w:p>
    <w:p w14:paraId="49E71585" w14:textId="77777777" w:rsidR="003934AD" w:rsidRPr="003934AD" w:rsidRDefault="003934AD" w:rsidP="003934AD">
      <w:pPr>
        <w:pStyle w:val="a7"/>
        <w:spacing w:after="0" w:line="240" w:lineRule="auto"/>
        <w:ind w:left="0" w:firstLine="0"/>
        <w:rPr>
          <w:sz w:val="24"/>
        </w:rPr>
      </w:pPr>
      <w:r w:rsidRPr="003934AD">
        <w:rPr>
          <w:sz w:val="24"/>
        </w:rPr>
        <w:t xml:space="preserve">1.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w:t>
      </w:r>
    </w:p>
    <w:p w14:paraId="41316D6D" w14:textId="77777777" w:rsidR="003934AD" w:rsidRPr="003934AD" w:rsidRDefault="003934AD" w:rsidP="003934AD">
      <w:pPr>
        <w:pStyle w:val="a7"/>
        <w:spacing w:after="0" w:line="240" w:lineRule="auto"/>
        <w:ind w:left="0" w:firstLine="0"/>
        <w:rPr>
          <w:sz w:val="24"/>
        </w:rPr>
      </w:pPr>
      <w:r w:rsidRPr="003934AD">
        <w:rPr>
          <w:sz w:val="24"/>
        </w:rPr>
        <w:t>работ) и конструирование, в том числе:</w:t>
      </w:r>
    </w:p>
    <w:p w14:paraId="203FCDD5" w14:textId="77777777" w:rsidR="003934AD" w:rsidRPr="003934AD" w:rsidRDefault="003934AD" w:rsidP="003934AD">
      <w:pPr>
        <w:pStyle w:val="a7"/>
        <w:spacing w:after="0" w:line="240" w:lineRule="auto"/>
        <w:ind w:left="0" w:firstLine="0"/>
        <w:rPr>
          <w:sz w:val="24"/>
        </w:rPr>
      </w:pPr>
      <w:r w:rsidRPr="003934AD">
        <w:rPr>
          <w:sz w:val="24"/>
        </w:rPr>
        <w:t>- Металлических (стальных, алюминиевых и из сплавов) конструкций</w:t>
      </w:r>
    </w:p>
    <w:p w14:paraId="4AC8390C" w14:textId="77777777" w:rsidR="003934AD" w:rsidRPr="003934AD" w:rsidRDefault="003934AD" w:rsidP="003934AD">
      <w:pPr>
        <w:pStyle w:val="a7"/>
        <w:spacing w:after="0" w:line="240" w:lineRule="auto"/>
        <w:ind w:left="0" w:firstLine="0"/>
        <w:rPr>
          <w:sz w:val="24"/>
        </w:rPr>
      </w:pPr>
      <w:r w:rsidRPr="003934AD">
        <w:rPr>
          <w:sz w:val="24"/>
        </w:rPr>
        <w:t xml:space="preserve">- Бетонных и железобетонных, каменных и армокаменных конструкций </w:t>
      </w:r>
    </w:p>
    <w:p w14:paraId="7E4164F0" w14:textId="77777777" w:rsidR="003934AD" w:rsidRPr="003934AD" w:rsidRDefault="003934AD" w:rsidP="003934AD">
      <w:pPr>
        <w:pStyle w:val="a7"/>
        <w:spacing w:after="0" w:line="240" w:lineRule="auto"/>
        <w:ind w:left="0" w:firstLine="0"/>
        <w:rPr>
          <w:sz w:val="24"/>
        </w:rPr>
      </w:pPr>
      <w:r w:rsidRPr="003934AD">
        <w:rPr>
          <w:sz w:val="24"/>
        </w:rPr>
        <w:lastRenderedPageBreak/>
        <w:t>- Оснований и фундаментов</w:t>
      </w:r>
    </w:p>
    <w:p w14:paraId="2DCA3463" w14:textId="77777777" w:rsidR="003934AD" w:rsidRPr="003934AD" w:rsidRDefault="003934AD" w:rsidP="003934AD">
      <w:pPr>
        <w:pStyle w:val="a7"/>
        <w:spacing w:after="0" w:line="240" w:lineRule="auto"/>
        <w:ind w:left="0" w:firstLine="0"/>
        <w:rPr>
          <w:sz w:val="24"/>
        </w:rPr>
      </w:pPr>
      <w:r w:rsidRPr="003934AD">
        <w:rPr>
          <w:sz w:val="24"/>
        </w:rPr>
        <w:t>2. Проектирование инженерных систем и сетей, в том числе:</w:t>
      </w:r>
    </w:p>
    <w:p w14:paraId="414894B4" w14:textId="77777777" w:rsidR="003934AD" w:rsidRPr="003934AD" w:rsidRDefault="003934AD" w:rsidP="003934AD">
      <w:pPr>
        <w:pStyle w:val="a7"/>
        <w:spacing w:after="0" w:line="240" w:lineRule="auto"/>
        <w:ind w:left="0" w:firstLine="0"/>
        <w:rPr>
          <w:sz w:val="24"/>
        </w:rPr>
      </w:pPr>
      <w:r w:rsidRPr="003934AD">
        <w:rPr>
          <w:sz w:val="24"/>
        </w:rPr>
        <w:t xml:space="preserve">- Систем внутреннего и наружного электроосвещения, электроснабжения до 0,4 </w:t>
      </w:r>
      <w:proofErr w:type="spellStart"/>
      <w:r w:rsidRPr="003934AD">
        <w:rPr>
          <w:sz w:val="24"/>
        </w:rPr>
        <w:t>кВ</w:t>
      </w:r>
      <w:proofErr w:type="spellEnd"/>
      <w:r w:rsidRPr="003934AD">
        <w:rPr>
          <w:sz w:val="24"/>
        </w:rPr>
        <w:t xml:space="preserve"> и до 10 </w:t>
      </w:r>
      <w:proofErr w:type="spellStart"/>
      <w:r w:rsidRPr="003934AD">
        <w:rPr>
          <w:sz w:val="24"/>
        </w:rPr>
        <w:t>кВ.</w:t>
      </w:r>
      <w:proofErr w:type="spellEnd"/>
    </w:p>
    <w:p w14:paraId="187D95F5" w14:textId="77777777" w:rsidR="003934AD" w:rsidRPr="003934AD" w:rsidRDefault="003934AD" w:rsidP="003934AD">
      <w:pPr>
        <w:pStyle w:val="a7"/>
        <w:spacing w:after="0" w:line="240" w:lineRule="auto"/>
        <w:ind w:left="0" w:firstLine="0"/>
        <w:rPr>
          <w:sz w:val="24"/>
        </w:rPr>
      </w:pPr>
      <w:r w:rsidRPr="003934AD">
        <w:rPr>
          <w:sz w:val="24"/>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24EEA64E" w14:textId="77777777" w:rsidR="003934AD" w:rsidRPr="003934AD" w:rsidRDefault="003934AD" w:rsidP="003934AD">
      <w:pPr>
        <w:pStyle w:val="a7"/>
        <w:spacing w:after="0" w:line="240" w:lineRule="auto"/>
        <w:ind w:left="0" w:firstLine="0"/>
        <w:rPr>
          <w:sz w:val="24"/>
        </w:rPr>
      </w:pPr>
      <w:r w:rsidRPr="003934AD">
        <w:rPr>
          <w:sz w:val="24"/>
        </w:rPr>
        <w:t>- Внутренних систем водопровода (горячей и холодной воды) и канализации, а также их наружных сетей.</w:t>
      </w:r>
    </w:p>
    <w:p w14:paraId="726ED10E" w14:textId="77777777" w:rsidR="003934AD" w:rsidRPr="003934AD" w:rsidRDefault="003934AD" w:rsidP="003934AD">
      <w:pPr>
        <w:pStyle w:val="a7"/>
        <w:spacing w:after="0" w:line="240" w:lineRule="auto"/>
        <w:ind w:left="0" w:firstLine="0"/>
        <w:rPr>
          <w:sz w:val="24"/>
        </w:rPr>
      </w:pPr>
      <w:r w:rsidRPr="003934AD">
        <w:rPr>
          <w:sz w:val="24"/>
        </w:rPr>
        <w:t>- Внутренних систем слаботочных устройств (телефонизации, пожарно-охранной сигнализации), а также их наружных сетей.</w:t>
      </w:r>
    </w:p>
    <w:p w14:paraId="1FB4A9E5" w14:textId="27E5ACF9" w:rsidR="00466128" w:rsidRPr="003934AD" w:rsidRDefault="003934AD" w:rsidP="003934AD">
      <w:pPr>
        <w:pStyle w:val="a7"/>
        <w:spacing w:after="0" w:line="240" w:lineRule="auto"/>
        <w:ind w:left="0" w:firstLine="0"/>
        <w:rPr>
          <w:sz w:val="24"/>
          <w:lang w:val="kk-KZ"/>
        </w:rPr>
      </w:pPr>
      <w:r w:rsidRPr="003934AD">
        <w:rPr>
          <w:sz w:val="24"/>
        </w:rPr>
        <w:t>(Потенциальный должен приложить к тендерной заявке заверенные копии лицензии либо заявление потенциального Подрядчика, содержащее ссылку на официальный интернет-источник (веб-сайт) государственного органа, выдавшего лицензию).</w:t>
      </w:r>
    </w:p>
    <w:p w14:paraId="6BB099CA" w14:textId="77777777" w:rsidR="00466128" w:rsidRPr="00AE00AD" w:rsidRDefault="00466128" w:rsidP="00350F87">
      <w:pPr>
        <w:spacing w:after="0" w:line="240" w:lineRule="auto"/>
        <w:ind w:firstLine="0"/>
        <w:rPr>
          <w:sz w:val="24"/>
        </w:rPr>
      </w:pPr>
    </w:p>
    <w:p w14:paraId="1AC53377" w14:textId="239E9D26"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3934AD"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33734A03" w:rsidR="00466128" w:rsidRPr="00AE00AD" w:rsidRDefault="003934AD" w:rsidP="00350F87">
      <w:pPr>
        <w:pStyle w:val="a7"/>
        <w:numPr>
          <w:ilvl w:val="2"/>
          <w:numId w:val="1"/>
        </w:numPr>
        <w:spacing w:after="0" w:line="240" w:lineRule="auto"/>
        <w:ind w:left="0" w:firstLine="0"/>
        <w:rPr>
          <w:sz w:val="24"/>
        </w:rPr>
      </w:pPr>
      <w:r>
        <w:rPr>
          <w:sz w:val="24"/>
          <w:lang w:val="kk-KZ"/>
        </w:rPr>
        <w:t>Требовани</w:t>
      </w:r>
      <w:r w:rsidR="00CF08BE">
        <w:rPr>
          <w:sz w:val="24"/>
          <w:lang w:val="kk-KZ"/>
        </w:rPr>
        <w:t>е</w:t>
      </w:r>
      <w:r>
        <w:rPr>
          <w:sz w:val="24"/>
          <w:lang w:val="kk-KZ"/>
        </w:rPr>
        <w:t xml:space="preserve"> не предусмотрен</w:t>
      </w:r>
      <w:r w:rsidR="00CF08BE">
        <w:rPr>
          <w:sz w:val="24"/>
          <w:lang w:val="kk-KZ"/>
        </w:rPr>
        <w:t>о</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0DA5F0E8" w:rsidR="00466128" w:rsidRPr="00AE00AD" w:rsidRDefault="003934AD" w:rsidP="00350F87">
      <w:pPr>
        <w:pStyle w:val="a7"/>
        <w:numPr>
          <w:ilvl w:val="2"/>
          <w:numId w:val="1"/>
        </w:numPr>
        <w:spacing w:after="0" w:line="240" w:lineRule="auto"/>
        <w:ind w:left="0" w:firstLine="0"/>
        <w:rPr>
          <w:sz w:val="24"/>
        </w:rPr>
      </w:pPr>
      <w:r>
        <w:rPr>
          <w:sz w:val="24"/>
          <w:lang w:val="kk-KZ"/>
        </w:rPr>
        <w:t>Требовани</w:t>
      </w:r>
      <w:r w:rsidR="00CF08BE">
        <w:rPr>
          <w:sz w:val="24"/>
          <w:lang w:val="kk-KZ"/>
        </w:rPr>
        <w:t>е</w:t>
      </w:r>
      <w:r>
        <w:rPr>
          <w:sz w:val="24"/>
          <w:lang w:val="kk-KZ"/>
        </w:rPr>
        <w:t xml:space="preserve"> не предусмотрен</w:t>
      </w:r>
      <w:r w:rsidR="00CF08BE">
        <w:rPr>
          <w:sz w:val="24"/>
          <w:lang w:val="kk-KZ"/>
        </w:rPr>
        <w:t>о</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D92E5EB" w:rsidR="00466128" w:rsidRPr="00AE00AD" w:rsidRDefault="00CF08BE" w:rsidP="00350F87">
      <w:pPr>
        <w:pStyle w:val="a7"/>
        <w:numPr>
          <w:ilvl w:val="2"/>
          <w:numId w:val="1"/>
        </w:numPr>
        <w:spacing w:after="0" w:line="240" w:lineRule="auto"/>
        <w:ind w:left="0" w:firstLine="0"/>
        <w:rPr>
          <w:sz w:val="24"/>
        </w:rPr>
      </w:pPr>
      <w:r>
        <w:rPr>
          <w:sz w:val="24"/>
          <w:lang w:val="kk-KZ"/>
        </w:rPr>
        <w:t>Требование не предусмотрено</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00EF2A8A" w:rsidR="00466128" w:rsidRPr="00AE00AD" w:rsidRDefault="00CF08BE" w:rsidP="00350F87">
      <w:pPr>
        <w:pStyle w:val="a7"/>
        <w:numPr>
          <w:ilvl w:val="2"/>
          <w:numId w:val="1"/>
        </w:numPr>
        <w:spacing w:after="0" w:line="240" w:lineRule="auto"/>
        <w:ind w:left="0" w:firstLine="0"/>
        <w:rPr>
          <w:sz w:val="24"/>
        </w:rPr>
      </w:pPr>
      <w:r>
        <w:rPr>
          <w:sz w:val="24"/>
          <w:lang w:val="kk-KZ"/>
        </w:rPr>
        <w:t>Требование не предусмотрено</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lastRenderedPageBreak/>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lastRenderedPageBreak/>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lastRenderedPageBreak/>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lastRenderedPageBreak/>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lastRenderedPageBreak/>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3"/>
  </w:num>
  <w:num w:numId="3" w16cid:durableId="465009148">
    <w:abstractNumId w:val="5"/>
  </w:num>
  <w:num w:numId="4" w16cid:durableId="981349374">
    <w:abstractNumId w:val="2"/>
  </w:num>
  <w:num w:numId="5" w16cid:durableId="579799800">
    <w:abstractNumId w:val="6"/>
  </w:num>
  <w:num w:numId="6" w16cid:durableId="83453518">
    <w:abstractNumId w:val="4"/>
  </w:num>
  <w:num w:numId="7" w16cid:durableId="353968682">
    <w:abstractNumId w:val="7"/>
  </w:num>
  <w:num w:numId="8" w16cid:durableId="1436025142">
    <w:abstractNumId w:val="0"/>
  </w:num>
  <w:num w:numId="9" w16cid:durableId="51531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37447"/>
    <w:rsid w:val="00350F87"/>
    <w:rsid w:val="00361CC1"/>
    <w:rsid w:val="003934AD"/>
    <w:rsid w:val="003C2041"/>
    <w:rsid w:val="003C59BA"/>
    <w:rsid w:val="0043658C"/>
    <w:rsid w:val="00454A6F"/>
    <w:rsid w:val="00466128"/>
    <w:rsid w:val="004E4389"/>
    <w:rsid w:val="005434A1"/>
    <w:rsid w:val="005B3DDF"/>
    <w:rsid w:val="006E46CE"/>
    <w:rsid w:val="00787BC4"/>
    <w:rsid w:val="00797208"/>
    <w:rsid w:val="007A11FA"/>
    <w:rsid w:val="007E167C"/>
    <w:rsid w:val="00910BC6"/>
    <w:rsid w:val="00997BB8"/>
    <w:rsid w:val="009D7CFF"/>
    <w:rsid w:val="00AE00AD"/>
    <w:rsid w:val="00AE4F0B"/>
    <w:rsid w:val="00AF27D7"/>
    <w:rsid w:val="00B21D88"/>
    <w:rsid w:val="00CF08BE"/>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555</TotalTime>
  <Pages>1</Pages>
  <Words>3814</Words>
  <Characters>21742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Аймағамбетов Аманжан Жауынбайұлы</cp:lastModifiedBy>
  <cp:revision>13</cp:revision>
  <dcterms:created xsi:type="dcterms:W3CDTF">2026-02-12T06:47:00Z</dcterms:created>
  <dcterms:modified xsi:type="dcterms:W3CDTF">2026-03-17T07:06:00Z</dcterms:modified>
</cp:coreProperties>
</file>