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№2 Қосымша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шартқа № ___</w:t>
      </w:r>
    </w:p>
    <w:p w14:paraId="3ADADD63" w14:textId="639EA9BB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бастап "___" _______202__ қ.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Техникалық тапсырма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0D19B810" w14:textId="71BD9DF2" w:rsidR="00221B56" w:rsidRPr="00BF4838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>Checkpoint бағдарламалық жасақтамасын пайдалану құқығына лицензияларды 5 жылға ұсыну бойынша қызметтерді көрсету мақсаты</w:t>
      </w:r>
    </w:p>
    <w:p w14:paraId="191DC00D" w14:textId="77777777" w:rsidR="009A6965" w:rsidRPr="00BF4838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BF4838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сипаттамалар.</w:t>
      </w:r>
    </w:p>
    <w:p w14:paraId="578C007F" w14:textId="77777777" w:rsidR="009A6965" w:rsidRPr="00BF4838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940"/>
        <w:gridCol w:w="6971"/>
      </w:tblGrid>
      <w:tr w:rsidR="00BF4838" w:rsidRPr="00BF4838" w14:paraId="32E343BD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385E0A0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Атауы </w:t>
            </w:r>
          </w:p>
        </w:tc>
        <w:tc>
          <w:tcPr>
            <w:tcW w:w="3517" w:type="pct"/>
            <w:tcBorders>
              <w:top w:val="single" w:sz="4" w:space="0" w:color="auto"/>
            </w:tcBorders>
          </w:tcPr>
          <w:p w14:paraId="0AB3E84B" w14:textId="4A4E6A7F" w:rsidR="00BF4838" w:rsidRPr="00BF4838" w:rsidRDefault="00393BDC" w:rsidP="007D425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Checkpoint бағдарламалық жасақтамасын пайдалану құқығына 5 жылға лицензия беру бойынша қызметтер.</w:t>
            </w:r>
            <w:r w:rsidRPr="0039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Жаңа буын брандмауэрлері (NGFW) және орталықтандырылған басқару жүйесі үшін ағымдағы жазылымдарды жаңарту (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SMS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Аккаунт үшін Check Point </w:t>
            </w:r>
            <w:r w:rsidR="00BF4838"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8213681</w:t>
            </w:r>
            <w:r w:rsidR="00BF4838"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4838" w:rsidRPr="00BF4838" w14:paraId="2A3AED06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53AA6FD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Өлшем бірліктері</w:t>
            </w:r>
          </w:p>
        </w:tc>
        <w:tc>
          <w:tcPr>
            <w:tcW w:w="3517" w:type="pct"/>
            <w:tcBorders>
              <w:top w:val="single" w:sz="4" w:space="0" w:color="auto"/>
            </w:tcBorders>
          </w:tcPr>
          <w:p w14:paraId="4C92790E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</w:p>
        </w:tc>
      </w:tr>
      <w:tr w:rsidR="00BF4838" w:rsidRPr="00BF4838" w14:paraId="53213904" w14:textId="77777777" w:rsidTr="00BF4838">
        <w:trPr>
          <w:trHeight w:val="20"/>
        </w:trPr>
        <w:tc>
          <w:tcPr>
            <w:tcW w:w="1483" w:type="pct"/>
          </w:tcPr>
          <w:p w14:paraId="31A3B7F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</w:p>
        </w:tc>
        <w:tc>
          <w:tcPr>
            <w:tcW w:w="3517" w:type="pct"/>
          </w:tcPr>
          <w:p w14:paraId="70D5BF85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</w:p>
        </w:tc>
      </w:tr>
      <w:tr w:rsidR="00BF4838" w:rsidRPr="00BF4838" w14:paraId="7DD8A2B9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3C953747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Жабдықтар мен БҚ тізбесі</w:t>
            </w:r>
          </w:p>
        </w:tc>
        <w:tc>
          <w:tcPr>
            <w:tcW w:w="3517" w:type="pct"/>
          </w:tcPr>
          <w:p w14:paraId="43767D0E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Техникалық қолдауды және жазылымдарды ұзартуға жататын жабдықтардың тізбесі:</w:t>
            </w:r>
          </w:p>
          <w:p w14:paraId="33A848E5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Желіаралық экран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үлгі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1595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(сериялық нөмірлер: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BA25302327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BA25302332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A01459E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Орталықтандырылған басқару жүйесі (SMS сервер (</w:t>
            </w:r>
            <w:r w:rsidRPr="00BF4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4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07D211DD0218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)) –Check Point 5 шлюзін басқаруға арналған Check Point.</w:t>
            </w:r>
          </w:p>
        </w:tc>
      </w:tr>
      <w:tr w:rsidR="00BF4838" w:rsidRPr="00BF4838" w14:paraId="0B3B8256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7AE79BB9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Орталықтандырылған басқару жүйесіне жазылымды ұзартуға қойылатын талаптар (</w:t>
            </w:r>
            <w:r w:rsidRPr="00BF4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SMS</w:t>
            </w: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) жаңа буынның брандмауэрлерімен</w:t>
            </w:r>
          </w:p>
        </w:tc>
        <w:tc>
          <w:tcPr>
            <w:tcW w:w="3517" w:type="pct"/>
            <w:tcBorders>
              <w:bottom w:val="single" w:sz="4" w:space="0" w:color="auto"/>
            </w:tcBorders>
          </w:tcPr>
          <w:p w14:paraId="224E069D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Жазылым SmartEvent және SmartReporter жаңа буынының брандмауэрлерін орталықтандырылған басқару жүйесінің келесі функционалдығын жаңартуды қамтамасыз етуі керек:</w:t>
            </w:r>
          </w:p>
          <w:p w14:paraId="266078FF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Оқиғалар журналында индекстелген іздеу;</w:t>
            </w:r>
          </w:p>
          <w:p w14:paraId="5E0E9ECF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Ақпараттық қауіпсіздік оқиғаларын хаттамаға түсіру;</w:t>
            </w:r>
          </w:p>
          <w:p w14:paraId="71EF52AC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Жаңа буын брандмауэрлерінде ережелер мен саясаттарды тіркеу;</w:t>
            </w:r>
          </w:p>
          <w:p w14:paraId="05438AC5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bookmarkStart w:id="0" w:name="OLE_LINK12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Брандмауэр, IPSec VPN, IPS, Пайдаланушыны сәйкестендіру, мобильді қолжетімділік, DLP, қолданбаларды басқару, URL сүзгісі, соның ішінде шлюздегі барлық біріктірілген қауіпсіздік қолданбаларында (соның ішінде виртуалды шлюздер) оқиғаларды тіркеу. , Anti-Bot, Anti-Virus, Sandbox;</w:t>
            </w:r>
          </w:p>
          <w:bookmarkEnd w:id="0"/>
          <w:p w14:paraId="0B2F6BD4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Брандмауэр, IPSec VPN, IPS, Пайдаланушыны сәйкестендіру, мобильді қолжетімділік, DLP, қолданбаларды басқару, URL сүзгісі, Anti-Bot, Anti-Virus, құм жәшігін қоса алғанда, барлық қолданбалардағы оқиғалардың корреляциясы;</w:t>
            </w:r>
          </w:p>
          <w:p w14:paraId="354869B3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lastRenderedPageBreak/>
              <w:t xml:space="preserve">Оқиғалар тізімінен іздеу, оқиғаларды тергеу үшін егжей-тегжейлерді тереңдету; </w:t>
            </w:r>
          </w:p>
          <w:p w14:paraId="360BCF05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Алдын ала анықталған сағаттық, күнделікті, апталық және айлық есептерді жасау, соның ішінде кем дегенде, </w:t>
            </w:r>
            <w:bookmarkStart w:id="1" w:name="OLE_LINK8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Негізгі</w:t>
            </w:r>
            <w:bookmarkEnd w:id="1"/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оқиғалар, Негізгі көздер, Негізгі бағыттар, Негізгі қызметтер, Негізгі көздер және олардың негізгі оқиғалары, Негізгі бағыттар және олардың негізгі оқиғалары, және Негізгі қызметтер және олардың негізгі оқиғалары;</w:t>
            </w:r>
          </w:p>
          <w:p w14:paraId="7E11C83B" w14:textId="77777777" w:rsidR="00BF4838" w:rsidRPr="00BF4838" w:rsidRDefault="00BF4838" w:rsidP="00BF4838">
            <w:pPr>
              <w:pStyle w:val="Bullets"/>
              <w:numPr>
                <w:ilvl w:val="0"/>
                <w:numId w:val="27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Есептерді электрондық пошта арқылы автоматты түрде тарату, FTP/веб-серверге жүктеу, пайдаланушының сыртқы есептерін тарату сценарийін құру мүмкіндігі. </w:t>
            </w:r>
          </w:p>
        </w:tc>
      </w:tr>
      <w:tr w:rsidR="00BF4838" w:rsidRPr="00BF4838" w14:paraId="3AAF7A5B" w14:textId="77777777" w:rsidTr="00BF4838">
        <w:trPr>
          <w:trHeight w:val="20"/>
        </w:trPr>
        <w:tc>
          <w:tcPr>
            <w:tcW w:w="1483" w:type="pct"/>
            <w:tcBorders>
              <w:bottom w:val="single" w:sz="4" w:space="0" w:color="auto"/>
            </w:tcBorders>
          </w:tcPr>
          <w:p w14:paraId="0503DD4F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OLE_LINK23"/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Брандмауэрдің келесі буынына жазылымды жаңартуға қойылатын талаптар.</w:t>
            </w:r>
            <w:bookmarkEnd w:id="2"/>
          </w:p>
          <w:p w14:paraId="004DDECB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rPr>
                <w:rFonts w:ascii="Times New Roman" w:eastAsiaTheme="minorHAnsi" w:hAnsi="Times New Roman"/>
                <w:i/>
                <w:sz w:val="24"/>
                <w:szCs w:val="24"/>
                <w:lang w:val="ru-RU" w:bidi="ar-SA"/>
              </w:rPr>
            </w:pPr>
          </w:p>
        </w:tc>
        <w:tc>
          <w:tcPr>
            <w:tcW w:w="3517" w:type="pct"/>
            <w:tcBorders>
              <w:bottom w:val="single" w:sz="4" w:space="0" w:color="auto"/>
            </w:tcBorders>
          </w:tcPr>
          <w:p w14:paraId="4668C2F9" w14:textId="77777777" w:rsidR="00BF4838" w:rsidRPr="00BF4838" w:rsidRDefault="00BF4838" w:rsidP="007D4255">
            <w:pPr>
              <w:pStyle w:val="Bullets"/>
              <w:tabs>
                <w:tab w:val="clear" w:pos="270"/>
                <w:tab w:val="left" w:pos="360"/>
                <w:tab w:val="left" w:pos="1620"/>
              </w:tabs>
              <w:spacing w:after="120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Жазылым келесі буын брандмауэрінің ағымдағы функционалдығын Enterprise Based Protection деңгейінде жаңартуды қамтамасыз етуі керек:</w:t>
            </w:r>
          </w:p>
          <w:p w14:paraId="3C0CB143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Қолтаңбалық және эвристикалық тексерулерді пайдалану арқылы желіге кіруді болдырмау қолтаңбалық және эвристикалық тексерулерді пайдалану арқылы желіге кіруді тексеру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IPS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4DF9214B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Белгісіз көздерден желіні жұқтырудың алдын алу, нөлдік күндік қауіптерден және мақсатты шабуылдардан қорғау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 w:bidi="ar-SA"/>
              </w:rPr>
              <w:t>Threat Emulation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.</w:t>
            </w:r>
          </w:p>
          <w:p w14:paraId="697F1ECC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Өнеркәсіптің жетекші машиналық оқыту алгоритмдерін және патенттелген нөлдік күндік фишингтік тексеру технологияларын пайдалана отырып, нақты уақыт режимінде белгісіз нөлдік күндік фишингтік шабуылдар мен белгілі фишингтік веб-сайт шабуылдарының алдын алады– </w:t>
            </w:r>
            <w:r w:rsidRPr="00BF48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Zero Phishing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CD6F2C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Қолданбалар деңгейінде желілік қауіпсіздік саясаттарын және қолданбалардағы жеке мүмкіндіктерді жүзеге асыру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Application Control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002EB684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Веб-сайттарға қолжетімділікті басқару, фишингтік сілтемелерді автоматты түрде блоктау, пайдаланушылар үшін интернетке қолжетімділікті шектеу мүмкіндігі, кэштеу арқылы сайттардың жүктелу жылдамдығын азайту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URL Filtering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1B1C9D07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Барлық желілік трафикті зиянды файлдар мен нысандарға тексеретін антивирустық шешім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Antivirus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33C0DC6D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Ботнеттерді құру және зиянкеске қажетті әрекеттерді жүзеге асыру мақсатында компьютерлерді пайдаланатын зиянды объектілер класынан қорғауға арналған мамандандырылған шешім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Anti-Bot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08D52362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Электрондық поштаны кешенді қорғау, барлық пошта хабарларын антивирустық тексеруді, қалаусыз поштаны (спам) сүзуді және қорғауды қамтиды </w:t>
              <w:lastRenderedPageBreak/>
              <w:t xml:space="preserve">пошта серверлерінің әртүрлі шабуылдардан, соның ішінде тым көп пошта хабарларын жіберу кезінде "қызмет көрсетуден бас тарту" түріндегі шабуылдардан –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Anti-Spam &amp; Email Security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73BB1BA6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DNS протоколын тексеру аясында әртүрлі қауіптерді анықтауға мүмкіндік беретін қызмет, соның ішінде DNS ұрлау, DNS туннельдеу сияқты шабуылдар, механизмдерді пайдалана отырып, қауіпсіздік жүйелерін айналып өту әдістері </w:t>
            </w:r>
            <w:r w:rsidRPr="00BF48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bidi="ar-SA"/>
              </w:rPr>
              <w:t>DNS Security</w:t>
            </w: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;</w:t>
            </w:r>
          </w:p>
          <w:p w14:paraId="6C20A038" w14:textId="77777777" w:rsidR="00BF4838" w:rsidRPr="00BF4838" w:rsidRDefault="00BF4838" w:rsidP="00BF4838">
            <w:pPr>
              <w:pStyle w:val="Bullets"/>
              <w:numPr>
                <w:ilvl w:val="0"/>
                <w:numId w:val="24"/>
              </w:numPr>
              <w:tabs>
                <w:tab w:val="clear" w:pos="270"/>
                <w:tab w:val="left" w:pos="360"/>
                <w:tab w:val="left" w:pos="1620"/>
              </w:tabs>
              <w:spacing w:after="12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BF4838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Желілердің әртүрлі сегменттері арасында қашықтан қосылуды жүзеге асыру және соңғы пайдаланушыларды IPSec қорғалған протоколы арқылы желіге қосу. Сондай-ақ, мобильді құрылғыларды корпоративтік желіге қосу (мобильді құрылғылардан бір уақытта кемінде 200 қосылым), соның ішінде Layer-3 VPN және SSL VPN – IPSec VPN, Mobile Access</w:t>
            </w:r>
          </w:p>
        </w:tc>
      </w:tr>
      <w:tr w:rsidR="00BF4838" w:rsidRPr="00BF4838" w14:paraId="5B5D8839" w14:textId="77777777" w:rsidTr="00BF4838">
        <w:trPr>
          <w:trHeight w:val="20"/>
        </w:trPr>
        <w:tc>
          <w:tcPr>
            <w:tcW w:w="1483" w:type="pct"/>
            <w:tcBorders>
              <w:top w:val="single" w:sz="4" w:space="0" w:color="auto"/>
            </w:tcBorders>
          </w:tcPr>
          <w:p w14:paraId="78F5D231" w14:textId="77777777" w:rsidR="00BF4838" w:rsidRPr="00BF4838" w:rsidRDefault="00BF4838" w:rsidP="007D4255">
            <w:pPr>
              <w:pStyle w:val="ae"/>
              <w:tabs>
                <w:tab w:val="clear" w:pos="4677"/>
                <w:tab w:val="clear" w:pos="9355"/>
                <w:tab w:val="left" w:pos="1620"/>
                <w:tab w:val="center" w:pos="4320"/>
                <w:tab w:val="right" w:pos="8640"/>
              </w:tabs>
              <w:spacing w:before="36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Техникалық қолдауға қойылатын талаптар</w:t>
            </w:r>
          </w:p>
          <w:p w14:paraId="098D998A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7" w:type="pct"/>
          </w:tcPr>
          <w:p w14:paraId="184800CD" w14:textId="77777777" w:rsidR="00BF4838" w:rsidRPr="00BF4838" w:rsidRDefault="00BF4838" w:rsidP="007D425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 қолдау көрсетіледі:</w:t>
            </w:r>
          </w:p>
          <w:p w14:paraId="1D537EC2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4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Premium Direct Enterprise Support (7 x 24) білім қорына кеңейтілген қолжетімділікпен, жаңартулармен, шлюздерге арналған құрылғыларды ауыстыруға сәйкес кепілдікпен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модельдер 1595.</w:t>
            </w:r>
          </w:p>
          <w:p w14:paraId="27329A7D" w14:textId="77777777" w:rsidR="00BF4838" w:rsidRPr="00BF4838" w:rsidRDefault="00BF4838" w:rsidP="00BF4838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 Direct Enterprise Support (7 x 24) білім қорына және орталықтандырылған басқару жүйесінің жаңартуларына кеңейтілген қолжетімділікпен (SMS сервері)</w:t>
            </w: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 xml:space="preserve"> Check Point</w:t>
            </w:r>
            <w:r w:rsidRPr="00BF4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4838" w:rsidRPr="00BF4838" w14:paraId="554AF27C" w14:textId="77777777" w:rsidTr="00BF4838">
        <w:trPr>
          <w:trHeight w:val="20"/>
        </w:trPr>
        <w:tc>
          <w:tcPr>
            <w:tcW w:w="1483" w:type="pct"/>
          </w:tcPr>
          <w:p w14:paraId="2E3FD23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Жалпы талаптар</w:t>
            </w:r>
          </w:p>
        </w:tc>
        <w:tc>
          <w:tcPr>
            <w:tcW w:w="3517" w:type="pct"/>
          </w:tcPr>
          <w:p w14:paraId="61715EB3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Барлық ұсынылған сипаттамалар осы техникалық сипаттамаға сәйкес келуі немесе одан асуы керек.</w:t>
            </w:r>
          </w:p>
        </w:tc>
      </w:tr>
      <w:tr w:rsidR="00BF4838" w:rsidRPr="00BF4838" w14:paraId="1A26FF82" w14:textId="77777777" w:rsidTr="00BF4838">
        <w:trPr>
          <w:trHeight w:val="20"/>
        </w:trPr>
        <w:tc>
          <w:tcPr>
            <w:tcW w:w="1483" w:type="pct"/>
          </w:tcPr>
          <w:p w14:paraId="374569BF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Қызметті көрсету мерзімі</w:t>
            </w:r>
          </w:p>
        </w:tc>
        <w:tc>
          <w:tcPr>
            <w:tcW w:w="3517" w:type="pct"/>
          </w:tcPr>
          <w:p w14:paraId="7CF69109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Шарт жасалған күннен бастап 15 күнтізбелік күннен кешіктірмей.</w:t>
            </w:r>
          </w:p>
        </w:tc>
      </w:tr>
      <w:tr w:rsidR="00BF4838" w:rsidRPr="00BF4838" w14:paraId="018D94E4" w14:textId="77777777" w:rsidTr="00BF4838">
        <w:trPr>
          <w:trHeight w:val="20"/>
        </w:trPr>
        <w:tc>
          <w:tcPr>
            <w:tcW w:w="1483" w:type="pct"/>
          </w:tcPr>
          <w:p w14:paraId="6524CDCE" w14:textId="77777777" w:rsidR="00BF4838" w:rsidRPr="00BF4838" w:rsidRDefault="00BF4838" w:rsidP="007D4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 қолдау мен жазылымдардың мерзімі</w:t>
            </w:r>
          </w:p>
        </w:tc>
        <w:tc>
          <w:tcPr>
            <w:tcW w:w="3517" w:type="pct"/>
          </w:tcPr>
          <w:p w14:paraId="4FF83EC9" w14:textId="77777777" w:rsidR="00BF4838" w:rsidRPr="00BF4838" w:rsidRDefault="00BF4838" w:rsidP="007D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sz w:val="24"/>
                <w:szCs w:val="24"/>
              </w:rPr>
              <w:t>Кемінде 60 ай.</w:t>
            </w:r>
          </w:p>
        </w:tc>
      </w:tr>
    </w:tbl>
    <w:p w14:paraId="3563006B" w14:textId="77777777" w:rsidR="00B64899" w:rsidRPr="00BF4838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Қызметтерді көрсету орны.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Қызметтерді көрсету орны – Қазақстан Республикасы, Ақтөбе облысы,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Ақтөбе қ., Тәуелсіздік даңғылы 7, 4-қабат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"Өріктау Оперейтинг" ЖШС.</w:t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Өндіріс жөніндегі директор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"Өріктау Оперейтинг" ЖШС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Құлжанов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86074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19</cp:revision>
  <dcterms:created xsi:type="dcterms:W3CDTF">2024-11-25T11:40:00Z</dcterms:created>
  <dcterms:modified xsi:type="dcterms:W3CDTF">2026-04-21T03:58:00Z</dcterms:modified>
</cp:coreProperties>
</file>