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10CED8B1" w:rsidR="001D6622" w:rsidRPr="001D6622" w:rsidRDefault="00566E16" w:rsidP="001D6622">
      <w:pPr>
        <w:spacing w:after="0" w:line="259" w:lineRule="auto"/>
        <w:ind w:right="57" w:firstLine="0"/>
        <w:jc w:val="center"/>
        <w:rPr>
          <w:b/>
          <w:bCs/>
          <w:sz w:val="24"/>
        </w:rPr>
      </w:pPr>
      <w:r w:rsidRPr="00566E16">
        <w:rPr>
          <w:b/>
          <w:bCs/>
          <w:sz w:val="24"/>
        </w:rPr>
        <w:t>№ 153 ашық тендер тәсілімен сатып алу жөніндегі 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578"/>
        <w:gridCol w:w="1400"/>
        <w:gridCol w:w="1747"/>
        <w:gridCol w:w="1796"/>
        <w:gridCol w:w="1842"/>
        <w:gridCol w:w="1104"/>
        <w:gridCol w:w="1375"/>
        <w:gridCol w:w="1288"/>
        <w:gridCol w:w="1432"/>
      </w:tblGrid>
      <w:tr w:rsidR="00350F87" w:rsidRPr="001C0307" w14:paraId="265BFB1F" w14:textId="77777777" w:rsidTr="001C0307">
        <w:trPr>
          <w:trHeight w:val="632"/>
        </w:trPr>
        <w:tc>
          <w:tcPr>
            <w:tcW w:w="582" w:type="pct"/>
          </w:tcPr>
          <w:p w14:paraId="40810337" w14:textId="77777777" w:rsidR="00466128" w:rsidRPr="00AE00AD" w:rsidRDefault="00466128" w:rsidP="00350F87">
            <w:pPr>
              <w:spacing w:after="0" w:line="259" w:lineRule="auto"/>
              <w:ind w:right="57" w:firstLine="0"/>
              <w:rPr>
                <w:b/>
                <w:sz w:val="20"/>
                <w:szCs w:val="20"/>
              </w:rPr>
            </w:pPr>
          </w:p>
          <w:p w14:paraId="306538B6" w14:textId="17CF782B" w:rsidR="00466128" w:rsidRPr="001D6622" w:rsidRDefault="001D6622" w:rsidP="00350F87">
            <w:pPr>
              <w:spacing w:after="0"/>
              <w:ind w:right="57" w:firstLine="0"/>
              <w:rPr>
                <w:b/>
                <w:bCs/>
                <w:sz w:val="20"/>
                <w:szCs w:val="20"/>
                <w:lang w:val="kk-KZ"/>
              </w:rPr>
            </w:pPr>
            <w:r w:rsidRPr="001D6622">
              <w:rPr>
                <w:b/>
                <w:bCs/>
                <w:sz w:val="20"/>
                <w:szCs w:val="20"/>
              </w:rPr>
              <w:t>Жер қойнауын пайдалану жөніндегі келісімшарттың нөмірі</w:t>
            </w:r>
          </w:p>
        </w:tc>
        <w:tc>
          <w:tcPr>
            <w:tcW w:w="516" w:type="pct"/>
            <w:vAlign w:val="center"/>
          </w:tcPr>
          <w:p w14:paraId="363D6EE4" w14:textId="2F659EB5" w:rsidR="00466128" w:rsidRPr="00AE00AD" w:rsidRDefault="001D6622" w:rsidP="00350F87">
            <w:pPr>
              <w:spacing w:after="0" w:line="259" w:lineRule="auto"/>
              <w:ind w:right="57" w:firstLine="0"/>
              <w:rPr>
                <w:b/>
                <w:bCs/>
                <w:sz w:val="20"/>
                <w:szCs w:val="20"/>
              </w:rPr>
            </w:pPr>
            <w:r w:rsidRPr="001D6622">
              <w:rPr>
                <w:b/>
                <w:bCs/>
                <w:sz w:val="20"/>
                <w:szCs w:val="20"/>
              </w:rPr>
              <w:t>Сатып алу нысанасының коды</w:t>
            </w:r>
          </w:p>
        </w:tc>
        <w:tc>
          <w:tcPr>
            <w:tcW w:w="644" w:type="pct"/>
            <w:vAlign w:val="center"/>
          </w:tcPr>
          <w:p w14:paraId="6DD3F352" w14:textId="77BFF809" w:rsidR="00466128" w:rsidRPr="001D6622" w:rsidRDefault="001D6622" w:rsidP="00350F87">
            <w:pPr>
              <w:spacing w:after="0" w:line="259" w:lineRule="auto"/>
              <w:ind w:right="57" w:firstLine="0"/>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662" w:type="pct"/>
          </w:tcPr>
          <w:p w14:paraId="772A9077" w14:textId="596F5EC7" w:rsidR="00466128" w:rsidRPr="00AE00AD" w:rsidRDefault="001D6622" w:rsidP="00350F87">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679" w:type="pct"/>
          </w:tcPr>
          <w:p w14:paraId="36F512DA" w14:textId="17B50D64" w:rsidR="00466128" w:rsidRPr="001D6622" w:rsidRDefault="001D6622" w:rsidP="00350F87">
            <w:pPr>
              <w:spacing w:after="0" w:line="259" w:lineRule="auto"/>
              <w:ind w:right="57" w:firstLine="0"/>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407" w:type="pct"/>
          </w:tcPr>
          <w:p w14:paraId="72E10524" w14:textId="54F6B61B" w:rsidR="00466128" w:rsidRPr="001D6622" w:rsidRDefault="001D6622" w:rsidP="00350F87">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507" w:type="pct"/>
          </w:tcPr>
          <w:p w14:paraId="3D8F2F03" w14:textId="47E27030" w:rsidR="00466128" w:rsidRPr="001D6622" w:rsidRDefault="001D6622" w:rsidP="00350F87">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475" w:type="pct"/>
          </w:tcPr>
          <w:p w14:paraId="390B6686" w14:textId="48FA5D84" w:rsidR="00466128" w:rsidRPr="001D6622" w:rsidRDefault="001D6622" w:rsidP="00350F87">
            <w:pPr>
              <w:spacing w:after="0" w:line="259" w:lineRule="auto"/>
              <w:ind w:right="57" w:firstLine="0"/>
              <w:rPr>
                <w:b/>
                <w:sz w:val="20"/>
                <w:szCs w:val="20"/>
                <w:lang w:val="kk-KZ"/>
              </w:rPr>
            </w:pPr>
            <w:r w:rsidRPr="001D6622">
              <w:rPr>
                <w:b/>
                <w:sz w:val="20"/>
                <w:szCs w:val="20"/>
              </w:rPr>
              <w:t>Тендерлік өтінімді қамтамасыз ету</w:t>
            </w:r>
          </w:p>
        </w:tc>
        <w:tc>
          <w:tcPr>
            <w:tcW w:w="528" w:type="pct"/>
          </w:tcPr>
          <w:p w14:paraId="0568F3C2" w14:textId="142E2C57" w:rsidR="00466128" w:rsidRPr="00213C73" w:rsidRDefault="00213C73" w:rsidP="00350F87">
            <w:pPr>
              <w:spacing w:after="0" w:line="259" w:lineRule="auto"/>
              <w:ind w:right="57" w:firstLine="0"/>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350F87" w:rsidRPr="00AE00AD" w14:paraId="1566318D" w14:textId="77777777" w:rsidTr="001C0307">
        <w:trPr>
          <w:trHeight w:val="1715"/>
        </w:trPr>
        <w:tc>
          <w:tcPr>
            <w:tcW w:w="582" w:type="pct"/>
            <w:vAlign w:val="center"/>
          </w:tcPr>
          <w:p w14:paraId="31BD9D18" w14:textId="075C81AC" w:rsidR="00466128" w:rsidRPr="00AE00AD" w:rsidRDefault="000B6541" w:rsidP="00350F87">
            <w:pPr>
              <w:spacing w:after="0" w:line="259" w:lineRule="auto"/>
              <w:ind w:right="57" w:firstLine="0"/>
              <w:rPr>
                <w:sz w:val="20"/>
                <w:szCs w:val="20"/>
              </w:rPr>
            </w:pPr>
            <w:r w:rsidRPr="00AE00AD">
              <w:rPr>
                <w:sz w:val="20"/>
                <w:szCs w:val="20"/>
              </w:rPr>
              <w:t>5224</w:t>
            </w:r>
          </w:p>
        </w:tc>
        <w:tc>
          <w:tcPr>
            <w:tcW w:w="516" w:type="pct"/>
            <w:vAlign w:val="center"/>
          </w:tcPr>
          <w:p w14:paraId="52406A79" w14:textId="2646B47A" w:rsidR="00466128" w:rsidRPr="00AE00AD" w:rsidRDefault="00DC12FF" w:rsidP="00350F87">
            <w:pPr>
              <w:spacing w:after="0" w:line="259" w:lineRule="auto"/>
              <w:ind w:right="57" w:firstLine="0"/>
              <w:rPr>
                <w:sz w:val="20"/>
                <w:szCs w:val="20"/>
              </w:rPr>
            </w:pPr>
            <w:r>
              <w:rPr>
                <w:sz w:val="20"/>
                <w:szCs w:val="20"/>
              </w:rPr>
              <w:t>21У</w:t>
            </w:r>
          </w:p>
        </w:tc>
        <w:tc>
          <w:tcPr>
            <w:tcW w:w="644" w:type="pct"/>
            <w:vAlign w:val="center"/>
          </w:tcPr>
          <w:p w14:paraId="0C418C1C" w14:textId="551B09BB" w:rsidR="00466128" w:rsidRPr="00AE00AD" w:rsidRDefault="00DC12FF" w:rsidP="00350F87">
            <w:pPr>
              <w:spacing w:after="0" w:line="259" w:lineRule="auto"/>
              <w:ind w:right="57" w:firstLine="0"/>
              <w:rPr>
                <w:sz w:val="20"/>
                <w:szCs w:val="20"/>
              </w:rPr>
            </w:pPr>
            <w:r w:rsidRPr="00AB505D">
              <w:rPr>
                <w:sz w:val="20"/>
                <w:szCs w:val="20"/>
              </w:rPr>
              <w:t>256112.900.000001</w:t>
            </w:r>
          </w:p>
        </w:tc>
        <w:tc>
          <w:tcPr>
            <w:tcW w:w="662" w:type="pct"/>
            <w:vAlign w:val="center"/>
          </w:tcPr>
          <w:p w14:paraId="49A8D414" w14:textId="4684F930" w:rsidR="00466128" w:rsidRPr="00AE00AD" w:rsidRDefault="0081084F" w:rsidP="00C82714">
            <w:pPr>
              <w:spacing w:after="0" w:line="259" w:lineRule="auto"/>
              <w:ind w:right="57" w:firstLine="0"/>
              <w:jc w:val="left"/>
              <w:rPr>
                <w:sz w:val="20"/>
                <w:szCs w:val="20"/>
              </w:rPr>
            </w:pPr>
            <w:r w:rsidRPr="0081084F">
              <w:rPr>
                <w:sz w:val="20"/>
                <w:szCs w:val="20"/>
              </w:rPr>
              <w:t>Ағаш және металл конструкцияларды оттан қорғау бойынша қызметтер</w:t>
            </w:r>
          </w:p>
        </w:tc>
        <w:tc>
          <w:tcPr>
            <w:tcW w:w="679" w:type="pct"/>
            <w:vAlign w:val="center"/>
          </w:tcPr>
          <w:p w14:paraId="6CDCEF29" w14:textId="3339B93B" w:rsidR="00466128" w:rsidRPr="00AE00AD" w:rsidRDefault="00C82714" w:rsidP="00C82714">
            <w:pPr>
              <w:spacing w:after="0" w:line="259" w:lineRule="auto"/>
              <w:ind w:right="57" w:firstLine="0"/>
              <w:jc w:val="left"/>
              <w:rPr>
                <w:sz w:val="20"/>
                <w:szCs w:val="20"/>
              </w:rPr>
            </w:pPr>
            <w:r w:rsidRPr="00C82714">
              <w:rPr>
                <w:sz w:val="20"/>
                <w:szCs w:val="20"/>
              </w:rPr>
              <w:t>Ағаш конструкцияларын оттан қорғау бойынша қызметтер</w:t>
            </w:r>
          </w:p>
        </w:tc>
        <w:tc>
          <w:tcPr>
            <w:tcW w:w="407" w:type="pct"/>
            <w:vAlign w:val="center"/>
          </w:tcPr>
          <w:p w14:paraId="72CFE74F" w14:textId="34CCAADE" w:rsidR="00466128" w:rsidRPr="00AE00AD" w:rsidRDefault="00DC12FF" w:rsidP="00350F87">
            <w:pPr>
              <w:spacing w:after="0" w:line="259" w:lineRule="auto"/>
              <w:ind w:right="57" w:firstLine="0"/>
              <w:rPr>
                <w:sz w:val="20"/>
                <w:szCs w:val="20"/>
              </w:rPr>
            </w:pPr>
            <w:r>
              <w:rPr>
                <w:sz w:val="20"/>
                <w:szCs w:val="20"/>
              </w:rPr>
              <w:t>1</w:t>
            </w:r>
          </w:p>
        </w:tc>
        <w:tc>
          <w:tcPr>
            <w:tcW w:w="507" w:type="pct"/>
            <w:vAlign w:val="center"/>
          </w:tcPr>
          <w:p w14:paraId="2CE9C5CD" w14:textId="7CD234FD" w:rsidR="00466128" w:rsidRPr="00AE00AD" w:rsidRDefault="00DC12FF" w:rsidP="00350F87">
            <w:pPr>
              <w:spacing w:after="0" w:line="259" w:lineRule="auto"/>
              <w:ind w:right="57" w:firstLine="0"/>
              <w:rPr>
                <w:sz w:val="20"/>
                <w:szCs w:val="20"/>
              </w:rPr>
            </w:pPr>
            <w:r>
              <w:rPr>
                <w:sz w:val="20"/>
                <w:szCs w:val="20"/>
              </w:rPr>
              <w:t>6 729 000,00</w:t>
            </w:r>
          </w:p>
        </w:tc>
        <w:tc>
          <w:tcPr>
            <w:tcW w:w="475" w:type="pct"/>
          </w:tcPr>
          <w:p w14:paraId="1F5605F1" w14:textId="188F5E00" w:rsidR="00466128" w:rsidRPr="00AE00AD" w:rsidRDefault="00213C73" w:rsidP="00350F87">
            <w:pPr>
              <w:spacing w:after="0" w:line="259" w:lineRule="auto"/>
              <w:ind w:right="57" w:firstLine="0"/>
              <w:rPr>
                <w:sz w:val="20"/>
                <w:szCs w:val="20"/>
              </w:rPr>
            </w:pPr>
            <w:r w:rsidRPr="00213C73">
              <w:rPr>
                <w:sz w:val="20"/>
                <w:szCs w:val="20"/>
              </w:rPr>
              <w:t>Қосылған құн салығын есепке алмағанда, жоспарланған сатып алу сомасының 1%-ы, теңге</w:t>
            </w:r>
          </w:p>
        </w:tc>
        <w:tc>
          <w:tcPr>
            <w:tcW w:w="528" w:type="pct"/>
            <w:vAlign w:val="center"/>
          </w:tcPr>
          <w:p w14:paraId="422EB86E" w14:textId="252B2DFC" w:rsidR="00466128" w:rsidRPr="00AE00AD" w:rsidRDefault="00DC12FF" w:rsidP="00DC12FF">
            <w:pPr>
              <w:spacing w:after="0" w:line="259" w:lineRule="auto"/>
              <w:ind w:right="57" w:firstLine="0"/>
              <w:jc w:val="center"/>
              <w:rPr>
                <w:sz w:val="20"/>
                <w:szCs w:val="20"/>
              </w:rPr>
            </w:pPr>
            <w:r>
              <w:rPr>
                <w:sz w:val="20"/>
                <w:szCs w:val="20"/>
              </w:rPr>
              <w:t>95%</w:t>
            </w:r>
          </w:p>
        </w:tc>
      </w:tr>
    </w:tbl>
    <w:p w14:paraId="1766FD58" w14:textId="77777777" w:rsidR="00466128" w:rsidRPr="00AE00AD" w:rsidRDefault="00466128"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39084435" w:rsidR="00466128" w:rsidRPr="00216BB1" w:rsidRDefault="00216BB1" w:rsidP="00216BB1">
      <w:pPr>
        <w:pStyle w:val="a7"/>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638FE2AD" w14:textId="5E73399A" w:rsidR="00466128" w:rsidRPr="00216BB1" w:rsidRDefault="00216BB1" w:rsidP="00216BB1">
      <w:pPr>
        <w:pStyle w:val="a7"/>
        <w:numPr>
          <w:ilvl w:val="2"/>
          <w:numId w:val="1"/>
        </w:numPr>
        <w:ind w:left="0" w:firstLine="0"/>
        <w:rPr>
          <w:sz w:val="24"/>
        </w:rPr>
      </w:pPr>
      <w:r w:rsidRPr="00216BB1">
        <w:rPr>
          <w:sz w:val="24"/>
        </w:rPr>
        <w:t>Потенциалды жеткізушінің жұмыс тәжірибесіне қойылатын талаптар көзделмеген</w:t>
      </w:r>
      <w:r>
        <w:rPr>
          <w:sz w:val="24"/>
        </w:rPr>
        <w:t>.</w:t>
      </w:r>
    </w:p>
    <w:p w14:paraId="6C9EA647" w14:textId="77777777" w:rsidR="00466128" w:rsidRPr="00AE00AD" w:rsidRDefault="00466128" w:rsidP="00350F87">
      <w:pPr>
        <w:spacing w:after="0"/>
        <w:ind w:firstLine="0"/>
        <w:rPr>
          <w:sz w:val="24"/>
        </w:rPr>
      </w:pPr>
    </w:p>
    <w:p w14:paraId="3925EB94" w14:textId="7FF5C881" w:rsidR="00466128" w:rsidRPr="00216BB1" w:rsidRDefault="00216BB1" w:rsidP="00216BB1">
      <w:pPr>
        <w:pStyle w:val="a7"/>
        <w:numPr>
          <w:ilvl w:val="1"/>
          <w:numId w:val="1"/>
        </w:numPr>
        <w:ind w:left="0" w:firstLine="0"/>
        <w:rPr>
          <w:b/>
          <w:bCs/>
          <w:sz w:val="24"/>
        </w:rPr>
      </w:pPr>
      <w:r>
        <w:rPr>
          <w:b/>
          <w:bCs/>
          <w:sz w:val="24"/>
        </w:rPr>
        <w:t xml:space="preserve"> </w:t>
      </w: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61980F17" w14:textId="3BCB6E6F" w:rsidR="00466128" w:rsidRPr="007F4A7F" w:rsidRDefault="00216BB1" w:rsidP="007F4A7F">
      <w:pPr>
        <w:pStyle w:val="a7"/>
        <w:numPr>
          <w:ilvl w:val="2"/>
          <w:numId w:val="1"/>
        </w:numPr>
        <w:ind w:left="0" w:firstLine="0"/>
        <w:rPr>
          <w:sz w:val="24"/>
        </w:rPr>
      </w:pPr>
      <w:r>
        <w:rPr>
          <w:sz w:val="24"/>
        </w:rPr>
        <w:t xml:space="preserve"> </w:t>
      </w:r>
      <w:r w:rsidR="007F4A7F" w:rsidRPr="007F4A7F">
        <w:rPr>
          <w:sz w:val="24"/>
        </w:rPr>
        <w:t>Потенциалды жеткізушіде келесі мамандар болуы тиіс</w:t>
      </w:r>
      <w:r w:rsidR="007F4A7F">
        <w:rPr>
          <w:sz w:val="24"/>
        </w:rPr>
        <w:t>:</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549"/>
        <w:gridCol w:w="8441"/>
        <w:gridCol w:w="1465"/>
        <w:gridCol w:w="1107"/>
      </w:tblGrid>
      <w:tr w:rsidR="00350F87" w:rsidRPr="00AE00AD" w14:paraId="58735DE0" w14:textId="77777777" w:rsidTr="001C0307">
        <w:trPr>
          <w:trHeight w:val="632"/>
        </w:trPr>
        <w:tc>
          <w:tcPr>
            <w:tcW w:w="940" w:type="pct"/>
          </w:tcPr>
          <w:p w14:paraId="54F051E5" w14:textId="4FF01711" w:rsidR="00466128" w:rsidRPr="007F4A7F" w:rsidRDefault="007F4A7F" w:rsidP="00350F87">
            <w:pPr>
              <w:spacing w:after="0" w:line="259" w:lineRule="auto"/>
              <w:ind w:right="57" w:firstLine="0"/>
              <w:rPr>
                <w:b/>
                <w:sz w:val="20"/>
                <w:szCs w:val="20"/>
              </w:rPr>
            </w:pPr>
            <w:r w:rsidRPr="007F4A7F">
              <w:rPr>
                <w:b/>
                <w:sz w:val="20"/>
                <w:szCs w:val="20"/>
              </w:rPr>
              <w:t>Біліктілігі және/немесе жұмыс тәжірибесі бар мамандар</w:t>
            </w:r>
          </w:p>
        </w:tc>
        <w:tc>
          <w:tcPr>
            <w:tcW w:w="3112" w:type="pct"/>
            <w:vAlign w:val="center"/>
          </w:tcPr>
          <w:p w14:paraId="228295DC" w14:textId="0E899A46" w:rsidR="00466128" w:rsidRPr="007F4A7F" w:rsidRDefault="007F4A7F" w:rsidP="00350F87">
            <w:pPr>
              <w:spacing w:after="0" w:line="259" w:lineRule="auto"/>
              <w:ind w:right="57" w:firstLine="0"/>
              <w:rPr>
                <w:b/>
                <w:sz w:val="20"/>
                <w:szCs w:val="20"/>
              </w:rPr>
            </w:pPr>
            <w:r w:rsidRPr="007F4A7F">
              <w:rPr>
                <w:b/>
                <w:sz w:val="20"/>
                <w:szCs w:val="20"/>
              </w:rPr>
              <w:t>Мамандардың біліктілігін және/немесе жұмыс тәжірибесін растайтын құжаттар</w:t>
            </w:r>
          </w:p>
        </w:tc>
        <w:tc>
          <w:tcPr>
            <w:tcW w:w="540" w:type="pct"/>
            <w:vAlign w:val="center"/>
          </w:tcPr>
          <w:p w14:paraId="06BBE055" w14:textId="5DD70B01" w:rsidR="00466128" w:rsidRPr="007F4A7F" w:rsidRDefault="007F4A7F" w:rsidP="00350F87">
            <w:pPr>
              <w:spacing w:after="0" w:line="259" w:lineRule="auto"/>
              <w:ind w:right="57" w:firstLine="0"/>
              <w:rPr>
                <w:b/>
                <w:sz w:val="20"/>
                <w:szCs w:val="20"/>
              </w:rPr>
            </w:pPr>
            <w:r w:rsidRPr="007F4A7F">
              <w:rPr>
                <w:b/>
                <w:sz w:val="20"/>
                <w:szCs w:val="20"/>
              </w:rPr>
              <w:t>Саны</w:t>
            </w:r>
          </w:p>
        </w:tc>
        <w:tc>
          <w:tcPr>
            <w:tcW w:w="408" w:type="pct"/>
          </w:tcPr>
          <w:p w14:paraId="7099D453" w14:textId="408C88A9" w:rsidR="00466128" w:rsidRPr="007F4A7F" w:rsidRDefault="007F4A7F" w:rsidP="00350F87">
            <w:pPr>
              <w:spacing w:after="0" w:line="259" w:lineRule="auto"/>
              <w:ind w:right="57" w:firstLine="0"/>
              <w:rPr>
                <w:b/>
                <w:sz w:val="20"/>
                <w:szCs w:val="20"/>
              </w:rPr>
            </w:pPr>
            <w:r w:rsidRPr="007F4A7F">
              <w:rPr>
                <w:b/>
                <w:sz w:val="20"/>
                <w:szCs w:val="20"/>
              </w:rPr>
              <w:t>Жұмыс тәжірибесі</w:t>
            </w:r>
          </w:p>
        </w:tc>
      </w:tr>
      <w:tr w:rsidR="00350F87" w:rsidRPr="00AE00AD" w14:paraId="6955F0AF" w14:textId="77777777" w:rsidTr="001C0307">
        <w:trPr>
          <w:trHeight w:val="450"/>
        </w:trPr>
        <w:tc>
          <w:tcPr>
            <w:tcW w:w="940" w:type="pct"/>
          </w:tcPr>
          <w:p w14:paraId="5CE53F9A" w14:textId="242E01CD" w:rsidR="00466128" w:rsidRPr="00DC12FF" w:rsidRDefault="00DC12FF" w:rsidP="00350F87">
            <w:pPr>
              <w:spacing w:after="0" w:line="259" w:lineRule="auto"/>
              <w:ind w:right="57" w:firstLine="0"/>
              <w:rPr>
                <w:sz w:val="20"/>
                <w:szCs w:val="20"/>
                <w:highlight w:val="yellow"/>
              </w:rPr>
            </w:pPr>
            <w:r w:rsidRPr="003A06BC">
              <w:rPr>
                <w:sz w:val="20"/>
                <w:szCs w:val="20"/>
              </w:rPr>
              <w:t>Инженерлік-техникалық қызметкер</w:t>
            </w:r>
            <w:r w:rsidR="003A06BC" w:rsidRPr="003A06BC">
              <w:rPr>
                <w:sz w:val="20"/>
                <w:szCs w:val="20"/>
              </w:rPr>
              <w:t>/</w:t>
            </w:r>
            <w:r w:rsidR="003A06BC">
              <w:t xml:space="preserve"> </w:t>
            </w:r>
            <w:r w:rsidR="003A06BC" w:rsidRPr="003A06BC">
              <w:rPr>
                <w:sz w:val="20"/>
                <w:szCs w:val="20"/>
              </w:rPr>
              <w:t>Оттан қорғау өңдеу жөніндегі инженер</w:t>
            </w:r>
            <w:r w:rsidR="003A06BC">
              <w:rPr>
                <w:sz w:val="20"/>
                <w:szCs w:val="20"/>
              </w:rPr>
              <w:t>/ П</w:t>
            </w:r>
            <w:r w:rsidR="003A06BC" w:rsidRPr="00766196">
              <w:rPr>
                <w:sz w:val="20"/>
                <w:szCs w:val="20"/>
              </w:rPr>
              <w:t>рораб</w:t>
            </w:r>
          </w:p>
        </w:tc>
        <w:tc>
          <w:tcPr>
            <w:tcW w:w="3112" w:type="pct"/>
          </w:tcPr>
          <w:p w14:paraId="0D9A50CA" w14:textId="77777777" w:rsidR="003A06BC" w:rsidRPr="003A06BC" w:rsidRDefault="003A06BC" w:rsidP="003A06BC">
            <w:pPr>
              <w:spacing w:after="0" w:line="259" w:lineRule="auto"/>
              <w:ind w:right="57" w:firstLine="0"/>
              <w:rPr>
                <w:sz w:val="20"/>
                <w:szCs w:val="20"/>
              </w:rPr>
            </w:pPr>
            <w:r w:rsidRPr="003A06BC">
              <w:rPr>
                <w:sz w:val="20"/>
                <w:szCs w:val="20"/>
              </w:rPr>
              <w:t>1) Жоғары немесе орта арнаулы техникалық білім туралы дипломның электрондық көшірмесін қоса беру;</w:t>
            </w:r>
          </w:p>
          <w:p w14:paraId="741A17D7" w14:textId="77777777" w:rsidR="003A06BC" w:rsidRPr="003A06BC" w:rsidRDefault="003A06BC" w:rsidP="003A06BC">
            <w:pPr>
              <w:spacing w:after="0" w:line="259" w:lineRule="auto"/>
              <w:ind w:right="57" w:firstLine="0"/>
              <w:rPr>
                <w:sz w:val="20"/>
                <w:szCs w:val="20"/>
              </w:rPr>
            </w:pPr>
            <w:r w:rsidRPr="003A06BC">
              <w:rPr>
                <w:sz w:val="20"/>
                <w:szCs w:val="20"/>
              </w:rPr>
              <w:t>2) Еңбек шартының немесе еңбек кітапшасының электрондық көшірмесі қоса берілсін;</w:t>
            </w:r>
          </w:p>
          <w:p w14:paraId="61C5DFFE" w14:textId="281197BB" w:rsidR="00466128" w:rsidRPr="003A06BC" w:rsidRDefault="003A06BC" w:rsidP="003A06BC">
            <w:pPr>
              <w:spacing w:after="0" w:line="259" w:lineRule="auto"/>
              <w:ind w:right="57" w:firstLine="0"/>
              <w:rPr>
                <w:sz w:val="20"/>
                <w:szCs w:val="20"/>
              </w:rPr>
            </w:pPr>
            <w:r w:rsidRPr="003A06BC">
              <w:rPr>
                <w:sz w:val="20"/>
                <w:szCs w:val="20"/>
              </w:rPr>
              <w:t>3) Мамандандырылған оқу орталығында оттан қорғайтын өңдеу бойынша оқудан өту және біліктілікті беру хаттамаларының немесе куәліктерінің немесе сертификаттарының электрондық көшірмелері қоса берілсін.</w:t>
            </w:r>
          </w:p>
        </w:tc>
        <w:tc>
          <w:tcPr>
            <w:tcW w:w="540" w:type="pct"/>
            <w:vAlign w:val="center"/>
          </w:tcPr>
          <w:p w14:paraId="7F2F066F" w14:textId="230BEF0E" w:rsidR="00466128" w:rsidRPr="003A06BC" w:rsidRDefault="00DC12FF" w:rsidP="00350F87">
            <w:pPr>
              <w:spacing w:after="0" w:line="259" w:lineRule="auto"/>
              <w:ind w:right="57" w:firstLine="0"/>
              <w:rPr>
                <w:sz w:val="20"/>
                <w:szCs w:val="20"/>
              </w:rPr>
            </w:pPr>
            <w:r w:rsidRPr="003A06BC">
              <w:rPr>
                <w:sz w:val="20"/>
                <w:szCs w:val="20"/>
              </w:rPr>
              <w:t>1 адам</w:t>
            </w:r>
          </w:p>
        </w:tc>
        <w:tc>
          <w:tcPr>
            <w:tcW w:w="408" w:type="pct"/>
            <w:vAlign w:val="center"/>
          </w:tcPr>
          <w:p w14:paraId="4A16D77F" w14:textId="6D979575" w:rsidR="00466128" w:rsidRPr="003A06BC" w:rsidRDefault="00DC12FF" w:rsidP="00350F87">
            <w:pPr>
              <w:spacing w:after="0" w:line="259" w:lineRule="auto"/>
              <w:ind w:right="57" w:firstLine="0"/>
              <w:rPr>
                <w:sz w:val="20"/>
                <w:szCs w:val="20"/>
              </w:rPr>
            </w:pPr>
            <w:r w:rsidRPr="003A06BC">
              <w:rPr>
                <w:sz w:val="20"/>
                <w:szCs w:val="20"/>
              </w:rPr>
              <w:t xml:space="preserve"> 3 жылдан кем емес</w:t>
            </w:r>
          </w:p>
        </w:tc>
      </w:tr>
      <w:tr w:rsidR="00DC12FF" w:rsidRPr="00AE00AD" w14:paraId="53F1863C" w14:textId="77777777" w:rsidTr="001C0307">
        <w:trPr>
          <w:trHeight w:val="450"/>
        </w:trPr>
        <w:tc>
          <w:tcPr>
            <w:tcW w:w="940" w:type="pct"/>
          </w:tcPr>
          <w:p w14:paraId="3900F736" w14:textId="41C2A6EC" w:rsidR="00DC12FF" w:rsidRPr="00DC12FF" w:rsidRDefault="003A06BC" w:rsidP="00350F87">
            <w:pPr>
              <w:spacing w:after="0" w:line="259" w:lineRule="auto"/>
              <w:ind w:right="57" w:firstLine="0"/>
              <w:rPr>
                <w:sz w:val="20"/>
                <w:szCs w:val="20"/>
                <w:highlight w:val="yellow"/>
              </w:rPr>
            </w:pPr>
            <w:r w:rsidRPr="003A06BC">
              <w:rPr>
                <w:sz w:val="20"/>
                <w:szCs w:val="20"/>
              </w:rPr>
              <w:lastRenderedPageBreak/>
              <w:t>Оттан қорғайтын өңдеу жөніндегі маман/Оттан қорғайтын сіңдіруші/Оттан қорғайтын жабындар жөніндегі бояушы</w:t>
            </w:r>
          </w:p>
        </w:tc>
        <w:tc>
          <w:tcPr>
            <w:tcW w:w="3112" w:type="pct"/>
          </w:tcPr>
          <w:p w14:paraId="69EFFB03" w14:textId="77777777" w:rsidR="003A06BC" w:rsidRPr="003A06BC" w:rsidRDefault="003A06BC" w:rsidP="003A06BC">
            <w:pPr>
              <w:spacing w:after="0" w:line="259" w:lineRule="auto"/>
              <w:ind w:right="57" w:firstLine="0"/>
              <w:rPr>
                <w:sz w:val="20"/>
                <w:szCs w:val="20"/>
              </w:rPr>
            </w:pPr>
            <w:r w:rsidRPr="003A06BC">
              <w:rPr>
                <w:sz w:val="20"/>
                <w:szCs w:val="20"/>
              </w:rPr>
              <w:t>1) Еңбек шартының немесе еңбек кітапшасының электрондық көшірмесін қоса беру;</w:t>
            </w:r>
          </w:p>
          <w:p w14:paraId="7518B405" w14:textId="367D976E" w:rsidR="00DC12FF" w:rsidRPr="003A06BC" w:rsidRDefault="003A06BC" w:rsidP="003A06BC">
            <w:pPr>
              <w:spacing w:after="0" w:line="259" w:lineRule="auto"/>
              <w:ind w:right="57" w:firstLine="0"/>
              <w:rPr>
                <w:sz w:val="20"/>
                <w:szCs w:val="20"/>
              </w:rPr>
            </w:pPr>
            <w:r w:rsidRPr="003A06BC">
              <w:rPr>
                <w:sz w:val="20"/>
                <w:szCs w:val="20"/>
              </w:rPr>
              <w:t>2) Мамандандырылған оқу орталығында оттан қорғайтын өңдеу бойынша оқудан өту және біліктілікті беру хаттамаларының немесе куәліктерінің немесе сертификаттарының электрондық көшірмелері қоса берілсін.</w:t>
            </w:r>
          </w:p>
        </w:tc>
        <w:tc>
          <w:tcPr>
            <w:tcW w:w="540" w:type="pct"/>
            <w:vAlign w:val="center"/>
          </w:tcPr>
          <w:p w14:paraId="4FBF291D" w14:textId="6FF2F2F5" w:rsidR="00DC12FF" w:rsidRPr="003A06BC" w:rsidRDefault="00DC12FF" w:rsidP="00350F87">
            <w:pPr>
              <w:spacing w:after="0" w:line="259" w:lineRule="auto"/>
              <w:ind w:right="57" w:firstLine="0"/>
              <w:rPr>
                <w:sz w:val="20"/>
                <w:szCs w:val="20"/>
              </w:rPr>
            </w:pPr>
            <w:r w:rsidRPr="003A06BC">
              <w:rPr>
                <w:sz w:val="20"/>
                <w:szCs w:val="20"/>
              </w:rPr>
              <w:t>3 адамнан кем емес</w:t>
            </w:r>
          </w:p>
        </w:tc>
        <w:tc>
          <w:tcPr>
            <w:tcW w:w="408" w:type="pct"/>
            <w:vAlign w:val="center"/>
          </w:tcPr>
          <w:p w14:paraId="73991CC4" w14:textId="4CFD1408" w:rsidR="00DC12FF" w:rsidRPr="003A06BC" w:rsidRDefault="00DC12FF" w:rsidP="00350F87">
            <w:pPr>
              <w:spacing w:after="0" w:line="259" w:lineRule="auto"/>
              <w:ind w:right="57" w:firstLine="0"/>
              <w:rPr>
                <w:sz w:val="20"/>
                <w:szCs w:val="20"/>
              </w:rPr>
            </w:pPr>
            <w:r w:rsidRPr="003A06BC">
              <w:rPr>
                <w:sz w:val="20"/>
                <w:szCs w:val="20"/>
              </w:rPr>
              <w:t>3 жылдан кем емес</w:t>
            </w:r>
          </w:p>
        </w:tc>
      </w:tr>
    </w:tbl>
    <w:p w14:paraId="1C38EFB2" w14:textId="09F2F2BA" w:rsidR="00350F87" w:rsidRPr="00AE00AD" w:rsidRDefault="007F4A7F" w:rsidP="007F4A7F">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p>
    <w:p w14:paraId="546D4ABD" w14:textId="77777777" w:rsidR="00350F87" w:rsidRPr="00AE00AD" w:rsidRDefault="00350F87" w:rsidP="00350F87">
      <w:pPr>
        <w:spacing w:after="0" w:line="240" w:lineRule="auto"/>
        <w:ind w:firstLine="0"/>
        <w:rPr>
          <w:sz w:val="24"/>
        </w:rPr>
      </w:pPr>
    </w:p>
    <w:p w14:paraId="645F1905" w14:textId="0449F361"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566E16"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50B67F4D" w14:textId="77777777" w:rsidR="00350F87" w:rsidRPr="00AE00AD" w:rsidRDefault="00350F87" w:rsidP="00350F87">
      <w:pPr>
        <w:pStyle w:val="a7"/>
        <w:spacing w:after="0" w:line="240" w:lineRule="auto"/>
        <w:ind w:left="0" w:firstLine="0"/>
        <w:rPr>
          <w:sz w:val="24"/>
        </w:rPr>
      </w:pPr>
    </w:p>
    <w:p w14:paraId="43996C3B" w14:textId="77777777" w:rsidR="00566E16" w:rsidRPr="00566E16" w:rsidRDefault="00566E16" w:rsidP="00566E16">
      <w:pPr>
        <w:spacing w:after="0" w:line="240" w:lineRule="auto"/>
        <w:ind w:firstLine="0"/>
        <w:rPr>
          <w:sz w:val="24"/>
        </w:rPr>
      </w:pPr>
      <w:r w:rsidRPr="00566E16">
        <w:rPr>
          <w:sz w:val="24"/>
        </w:rPr>
        <w:t>3.3.1 Паспорттың немесе жалға алу шартының электрондық көшірмелері мынадай жабдықтарға қоса берілсін:</w:t>
      </w:r>
    </w:p>
    <w:p w14:paraId="6FD9ECAC" w14:textId="77777777" w:rsidR="00566E16" w:rsidRPr="00566E16" w:rsidRDefault="00566E16" w:rsidP="00566E16">
      <w:pPr>
        <w:spacing w:after="0" w:line="240" w:lineRule="auto"/>
        <w:ind w:firstLine="0"/>
        <w:rPr>
          <w:sz w:val="24"/>
        </w:rPr>
      </w:pPr>
      <w:r w:rsidRPr="00566E16">
        <w:rPr>
          <w:sz w:val="24"/>
        </w:rPr>
        <w:t>1) Ауасыз бүрку аппараттары - кемінде 3 бірлік;</w:t>
      </w:r>
    </w:p>
    <w:p w14:paraId="6BB099CA" w14:textId="16596924" w:rsidR="00466128" w:rsidRDefault="00566E16" w:rsidP="00566E16">
      <w:pPr>
        <w:spacing w:after="0" w:line="240" w:lineRule="auto"/>
        <w:ind w:firstLine="0"/>
        <w:rPr>
          <w:sz w:val="24"/>
        </w:rPr>
      </w:pPr>
      <w:r w:rsidRPr="00566E16">
        <w:rPr>
          <w:sz w:val="24"/>
        </w:rPr>
        <w:t>2) Тексерілген бақылау-өлшеу аспаптары (сүректің ылғал өлшегіштері) - 1 бірлік.</w:t>
      </w:r>
    </w:p>
    <w:p w14:paraId="5B8E93B8" w14:textId="77777777" w:rsidR="00566E16" w:rsidRPr="00AE00AD" w:rsidRDefault="00566E16" w:rsidP="00566E16">
      <w:pPr>
        <w:spacing w:after="0" w:line="240" w:lineRule="auto"/>
        <w:ind w:firstLine="0"/>
        <w:rPr>
          <w:sz w:val="24"/>
        </w:rPr>
      </w:pPr>
    </w:p>
    <w:p w14:paraId="1AC53377" w14:textId="310F07BB"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566E16"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4630691C" w14:textId="77777777" w:rsidR="00350F87" w:rsidRPr="00AE00AD" w:rsidRDefault="00350F87" w:rsidP="00350F87">
      <w:pPr>
        <w:pStyle w:val="a7"/>
        <w:spacing w:after="0" w:line="240" w:lineRule="auto"/>
        <w:ind w:left="0" w:firstLine="0"/>
        <w:rPr>
          <w:sz w:val="24"/>
        </w:rPr>
      </w:pPr>
    </w:p>
    <w:p w14:paraId="3B7E23E0" w14:textId="77777777" w:rsidR="00566E16" w:rsidRPr="00566E16" w:rsidRDefault="00566E16" w:rsidP="00566E16">
      <w:pPr>
        <w:spacing w:after="0" w:line="240" w:lineRule="auto"/>
        <w:ind w:firstLine="0"/>
        <w:rPr>
          <w:sz w:val="24"/>
        </w:rPr>
      </w:pPr>
      <w:r w:rsidRPr="00566E16">
        <w:rPr>
          <w:sz w:val="24"/>
        </w:rPr>
        <w:t>3.4.1 Қолданылатын оттан қорғау құрамына құжаттардың электрондық көшірмелері қоса берілсін:</w:t>
      </w:r>
    </w:p>
    <w:p w14:paraId="713319F8" w14:textId="77777777" w:rsidR="00566E16" w:rsidRPr="00566E16" w:rsidRDefault="00566E16" w:rsidP="00566E16">
      <w:pPr>
        <w:spacing w:after="0" w:line="240" w:lineRule="auto"/>
        <w:ind w:firstLine="0"/>
        <w:rPr>
          <w:sz w:val="24"/>
        </w:rPr>
      </w:pPr>
      <w:r w:rsidRPr="00566E16">
        <w:rPr>
          <w:sz w:val="24"/>
        </w:rPr>
        <w:t>1) Сәйкестік сертификаты: Қолданыстағы сәйкестік сертификаты ЕАЭО 043/2017 техникалық регламентінің талаптарына (ҰАО тізілімінде тексеріледі);</w:t>
      </w:r>
    </w:p>
    <w:p w14:paraId="507837E1" w14:textId="77777777" w:rsidR="00566E16" w:rsidRPr="00566E16" w:rsidRDefault="00566E16" w:rsidP="00566E16">
      <w:pPr>
        <w:spacing w:after="0" w:line="240" w:lineRule="auto"/>
        <w:ind w:firstLine="0"/>
        <w:rPr>
          <w:sz w:val="24"/>
        </w:rPr>
      </w:pPr>
      <w:r w:rsidRPr="00566E16">
        <w:rPr>
          <w:sz w:val="24"/>
        </w:rPr>
        <w:t>2) Техникалық паспорт және регламент: Қажетті қорғау тобына қол жеткізу үшін шығын нормасы (г/м2) көрсетілген қолдану жөніндегі зауыттық нұсқаулық.</w:t>
      </w:r>
    </w:p>
    <w:p w14:paraId="1C46F394" w14:textId="2F048516" w:rsidR="00466128" w:rsidRDefault="00566E16" w:rsidP="00566E16">
      <w:pPr>
        <w:spacing w:after="0" w:line="240" w:lineRule="auto"/>
        <w:ind w:firstLine="0"/>
        <w:rPr>
          <w:sz w:val="24"/>
        </w:rPr>
      </w:pPr>
      <w:r w:rsidRPr="00566E16">
        <w:rPr>
          <w:sz w:val="24"/>
        </w:rPr>
        <w:t>3) Санитариялық-эпидемиологиялық қорытынды: Үй-жай ішінде пайдалану үшін құрамның қауіпсіздігін растау.</w:t>
      </w:r>
    </w:p>
    <w:p w14:paraId="4F1AD403" w14:textId="77777777" w:rsidR="00566E16" w:rsidRPr="00AE00AD" w:rsidRDefault="00566E16" w:rsidP="00566E16">
      <w:pPr>
        <w:spacing w:after="0" w:line="240" w:lineRule="auto"/>
        <w:ind w:firstLine="0"/>
        <w:rPr>
          <w:sz w:val="24"/>
        </w:rPr>
      </w:pPr>
    </w:p>
    <w:p w14:paraId="1F5AEB1F" w14:textId="77777777" w:rsidR="00566E16" w:rsidRPr="007F4A7F" w:rsidRDefault="00466128" w:rsidP="00566E16">
      <w:pPr>
        <w:pStyle w:val="a7"/>
        <w:numPr>
          <w:ilvl w:val="1"/>
          <w:numId w:val="1"/>
        </w:numPr>
        <w:spacing w:line="240" w:lineRule="auto"/>
        <w:ind w:left="0" w:firstLine="0"/>
        <w:rPr>
          <w:b/>
          <w:bCs/>
          <w:sz w:val="24"/>
        </w:rPr>
      </w:pPr>
      <w:r w:rsidRPr="00AE00AD">
        <w:rPr>
          <w:sz w:val="24"/>
        </w:rPr>
        <w:t xml:space="preserve"> </w:t>
      </w:r>
      <w:r w:rsidR="00566E16" w:rsidRPr="007F4A7F">
        <w:rPr>
          <w:b/>
          <w:bCs/>
          <w:sz w:val="24"/>
        </w:rPr>
        <w:t>Құжатпен расталуды талап ететін өзге де талаптар</w:t>
      </w:r>
    </w:p>
    <w:p w14:paraId="295D0874" w14:textId="77777777" w:rsidR="00350F87" w:rsidRPr="00AE00AD" w:rsidRDefault="00350F87" w:rsidP="00350F87">
      <w:pPr>
        <w:pStyle w:val="a7"/>
        <w:spacing w:after="0" w:line="240" w:lineRule="auto"/>
        <w:ind w:left="0" w:firstLine="0"/>
        <w:rPr>
          <w:sz w:val="24"/>
        </w:rPr>
      </w:pPr>
    </w:p>
    <w:p w14:paraId="190FA7EA" w14:textId="0B63CDFE" w:rsidR="00DC12FF" w:rsidRPr="007F4A7F" w:rsidRDefault="00566E16" w:rsidP="00566E16">
      <w:pPr>
        <w:pStyle w:val="a7"/>
        <w:spacing w:after="0" w:line="240" w:lineRule="auto"/>
        <w:ind w:left="0" w:firstLine="0"/>
        <w:rPr>
          <w:sz w:val="24"/>
        </w:rPr>
      </w:pPr>
      <w:r w:rsidRPr="00566E16">
        <w:rPr>
          <w:sz w:val="24"/>
        </w:rPr>
        <w:t>3.5.1</w:t>
      </w:r>
      <w:r>
        <w:rPr>
          <w:sz w:val="24"/>
        </w:rPr>
        <w:t>.</w:t>
      </w:r>
      <w:r w:rsidRPr="00566E16">
        <w:rPr>
          <w:sz w:val="24"/>
        </w:rPr>
        <w:t xml:space="preserve"> Сынақ зертханасының аккредиттеу аттестатының электрондық көшірмесі немесе Қазақстан Республикасының мемлекеттік техникалық реттеу жүйесінде аккредиттелген сынақ зертханасымен шарт қоса берілсін. (Аккредиттеу саласы - Оттан қорғайтын өңдеу сапасын анықтау)</w:t>
      </w:r>
    </w:p>
    <w:p w14:paraId="0E991743" w14:textId="0F63D84C" w:rsidR="00350F87" w:rsidRPr="007F4A7F" w:rsidRDefault="00350F87" w:rsidP="007F4A7F">
      <w:pPr>
        <w:pStyle w:val="a7"/>
        <w:spacing w:after="0" w:line="240" w:lineRule="auto"/>
        <w:ind w:left="0" w:firstLine="0"/>
        <w:rPr>
          <w:b/>
          <w:bCs/>
          <w:sz w:val="24"/>
        </w:rPr>
      </w:pPr>
    </w:p>
    <w:p w14:paraId="71DB7522" w14:textId="34E1E756" w:rsidR="00466128" w:rsidRPr="007F4A7F" w:rsidRDefault="007F4A7F" w:rsidP="007F4A7F">
      <w:pPr>
        <w:pStyle w:val="a7"/>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6C261777" w:rsidR="00466128" w:rsidRPr="007F4A7F" w:rsidRDefault="007F4A7F" w:rsidP="007F4A7F">
      <w:pPr>
        <w:pStyle w:val="a7"/>
        <w:numPr>
          <w:ilvl w:val="2"/>
          <w:numId w:val="1"/>
        </w:numPr>
        <w:spacing w:line="240" w:lineRule="auto"/>
        <w:ind w:left="0" w:firstLine="0"/>
        <w:rPr>
          <w:sz w:val="24"/>
        </w:rPr>
      </w:pPr>
      <w:r w:rsidRPr="007F4A7F">
        <w:rPr>
          <w:sz w:val="24"/>
        </w:rPr>
        <w:t>Қажетті деректерді көрсету</w:t>
      </w:r>
      <w:r w:rsidR="00466128" w:rsidRPr="007F4A7F">
        <w:rPr>
          <w:sz w:val="24"/>
        </w:rPr>
        <w:t>.</w:t>
      </w:r>
    </w:p>
    <w:p w14:paraId="2CE08425" w14:textId="77777777" w:rsidR="00466128" w:rsidRPr="00AE00AD" w:rsidRDefault="00466128" w:rsidP="00350F87">
      <w:pPr>
        <w:spacing w:after="0" w:line="240" w:lineRule="auto"/>
        <w:ind w:firstLine="0"/>
        <w:rPr>
          <w:sz w:val="24"/>
        </w:rPr>
      </w:pPr>
    </w:p>
    <w:p w14:paraId="1865FB1E" w14:textId="77777777" w:rsidR="008E1B26" w:rsidRPr="008E1B26" w:rsidRDefault="008E1B26" w:rsidP="008E1B26">
      <w:pPr>
        <w:pStyle w:val="a7"/>
        <w:numPr>
          <w:ilvl w:val="1"/>
          <w:numId w:val="1"/>
        </w:numPr>
        <w:spacing w:line="240" w:lineRule="auto"/>
        <w:ind w:left="0" w:firstLine="0"/>
        <w:rPr>
          <w:b/>
          <w:sz w:val="24"/>
        </w:rPr>
      </w:pPr>
      <w:r w:rsidRPr="008E1B26">
        <w:rPr>
          <w:b/>
          <w:sz w:val="24"/>
          <w:lang w:val="kk-KZ"/>
        </w:rPr>
        <w:t xml:space="preserve"> </w:t>
      </w: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1B5F6D4A" w:rsidR="00350F87" w:rsidRPr="008E1B26" w:rsidRDefault="00350F87" w:rsidP="008E1B26">
      <w:pPr>
        <w:pStyle w:val="a7"/>
        <w:spacing w:after="0" w:line="240" w:lineRule="auto"/>
        <w:ind w:left="0" w:firstLine="0"/>
        <w:rPr>
          <w:sz w:val="24"/>
        </w:rPr>
      </w:pPr>
    </w:p>
    <w:p w14:paraId="4604C49E" w14:textId="359CE324" w:rsidR="007F4A7F" w:rsidRPr="007F4A7F" w:rsidRDefault="007F4A7F" w:rsidP="007F4A7F">
      <w:pPr>
        <w:pStyle w:val="a7"/>
        <w:numPr>
          <w:ilvl w:val="2"/>
          <w:numId w:val="1"/>
        </w:numPr>
        <w:spacing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p>
    <w:p w14:paraId="143FD289" w14:textId="3FF7C1AE" w:rsidR="00466128" w:rsidRPr="007F4A7F" w:rsidRDefault="00466128" w:rsidP="007F4A7F">
      <w:pPr>
        <w:pStyle w:val="a7"/>
        <w:spacing w:after="0" w:line="240" w:lineRule="auto"/>
        <w:ind w:left="0" w:firstLine="0"/>
        <w:rPr>
          <w:sz w:val="24"/>
        </w:rPr>
      </w:pPr>
    </w:p>
    <w:p w14:paraId="08696FA1" w14:textId="45CB23FD" w:rsidR="00466128" w:rsidRPr="007F4A7F" w:rsidRDefault="007F4A7F" w:rsidP="007F4A7F">
      <w:pPr>
        <w:pStyle w:val="a7"/>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7"/>
        <w:spacing w:after="0" w:line="240" w:lineRule="auto"/>
        <w:ind w:left="0" w:firstLine="0"/>
        <w:rPr>
          <w:b/>
          <w:bCs/>
          <w:sz w:val="24"/>
        </w:rPr>
      </w:pPr>
    </w:p>
    <w:p w14:paraId="10D7A937" w14:textId="41D5586A" w:rsidR="00AE4F0B" w:rsidRPr="007F4A7F" w:rsidRDefault="007F4A7F" w:rsidP="007F4A7F">
      <w:pPr>
        <w:pStyle w:val="a7"/>
        <w:numPr>
          <w:ilvl w:val="2"/>
          <w:numId w:val="1"/>
        </w:numPr>
        <w:spacing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AE00AD" w:rsidRDefault="00350F87" w:rsidP="00350F87">
      <w:pPr>
        <w:spacing w:after="0" w:line="240" w:lineRule="auto"/>
        <w:ind w:firstLine="0"/>
        <w:rPr>
          <w:sz w:val="24"/>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330CA">
      <w:pPr>
        <w:pStyle w:val="a7"/>
        <w:numPr>
          <w:ilvl w:val="1"/>
          <w:numId w:val="1"/>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0AE5251F" w14:textId="77777777" w:rsidR="004330CA" w:rsidRPr="0090209F" w:rsidRDefault="004330CA" w:rsidP="004330CA">
      <w:pPr>
        <w:pStyle w:val="a7"/>
        <w:numPr>
          <w:ilvl w:val="1"/>
          <w:numId w:val="1"/>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35DC1E37" w14:textId="30A8EF5E" w:rsidR="00D607E2" w:rsidRPr="004330CA" w:rsidRDefault="004330CA" w:rsidP="004330CA">
      <w:pPr>
        <w:pStyle w:val="a7"/>
        <w:numPr>
          <w:ilvl w:val="2"/>
          <w:numId w:val="1"/>
        </w:numPr>
        <w:spacing w:line="240" w:lineRule="auto"/>
        <w:ind w:left="0" w:firstLine="0"/>
        <w:rPr>
          <w:sz w:val="24"/>
        </w:rPr>
      </w:pPr>
      <w:r w:rsidRPr="004330CA">
        <w:rPr>
          <w:sz w:val="24"/>
        </w:rPr>
        <w:t xml:space="preserve">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w:t>
      </w:r>
      <w:r w:rsidRPr="004330CA">
        <w:rPr>
          <w:sz w:val="24"/>
        </w:rPr>
        <w:lastRenderedPageBreak/>
        <w:t>(отыз)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031AAE9D" w:rsidR="00AE00AD" w:rsidRPr="00622407" w:rsidRDefault="00622407" w:rsidP="00622407">
      <w:pPr>
        <w:pStyle w:val="a7"/>
        <w:numPr>
          <w:ilvl w:val="2"/>
          <w:numId w:val="1"/>
        </w:numPr>
        <w:spacing w:line="240" w:lineRule="auto"/>
        <w:ind w:left="0" w:firstLine="0"/>
        <w:rPr>
          <w:sz w:val="24"/>
        </w:rPr>
      </w:pPr>
      <w:r w:rsidRPr="00622407">
        <w:rPr>
          <w:sz w:val="24"/>
        </w:rPr>
        <w:t>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 xml:space="preserve">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w:t>
      </w:r>
      <w:r w:rsidRPr="00A11059">
        <w:rPr>
          <w:sz w:val="24"/>
        </w:rPr>
        <w:lastRenderedPageBreak/>
        <w:t>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lastRenderedPageBreak/>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lastRenderedPageBreak/>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lastRenderedPageBreak/>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C70975" w:rsidRDefault="00C70975" w:rsidP="00C70975">
      <w:pPr>
        <w:pStyle w:val="a7"/>
        <w:numPr>
          <w:ilvl w:val="2"/>
          <w:numId w:val="1"/>
        </w:numPr>
        <w:spacing w:after="0" w:line="259" w:lineRule="auto"/>
        <w:ind w:left="0" w:right="57" w:firstLine="0"/>
        <w:rPr>
          <w:sz w:val="24"/>
        </w:rPr>
      </w:pPr>
      <w:r w:rsidRPr="00C70975">
        <w:rPr>
          <w:sz w:val="24"/>
        </w:rPr>
        <w:t>жеткізуші шартты орындаудан бас тартқан жағдайда.</w:t>
      </w:r>
    </w:p>
    <w:sectPr w:rsidR="000B6541"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C0307"/>
    <w:rsid w:val="001D6622"/>
    <w:rsid w:val="00213C73"/>
    <w:rsid w:val="00216BB1"/>
    <w:rsid w:val="003162AC"/>
    <w:rsid w:val="00350F87"/>
    <w:rsid w:val="00361CC1"/>
    <w:rsid w:val="003A06BC"/>
    <w:rsid w:val="003C59BA"/>
    <w:rsid w:val="004330CA"/>
    <w:rsid w:val="0043658C"/>
    <w:rsid w:val="00454A6F"/>
    <w:rsid w:val="00466128"/>
    <w:rsid w:val="004E4389"/>
    <w:rsid w:val="005434A1"/>
    <w:rsid w:val="00566E16"/>
    <w:rsid w:val="00622407"/>
    <w:rsid w:val="00670104"/>
    <w:rsid w:val="0067274F"/>
    <w:rsid w:val="006A3063"/>
    <w:rsid w:val="007A11FA"/>
    <w:rsid w:val="007E167C"/>
    <w:rsid w:val="007F4A7F"/>
    <w:rsid w:val="0081084F"/>
    <w:rsid w:val="008C18A8"/>
    <w:rsid w:val="008E1B26"/>
    <w:rsid w:val="0090209F"/>
    <w:rsid w:val="00910BC6"/>
    <w:rsid w:val="00974BF5"/>
    <w:rsid w:val="00997BB8"/>
    <w:rsid w:val="00A11059"/>
    <w:rsid w:val="00AE00AD"/>
    <w:rsid w:val="00AE4F0B"/>
    <w:rsid w:val="00AF27D7"/>
    <w:rsid w:val="00B21D88"/>
    <w:rsid w:val="00B3454A"/>
    <w:rsid w:val="00BA1FEB"/>
    <w:rsid w:val="00BA7A18"/>
    <w:rsid w:val="00C70975"/>
    <w:rsid w:val="00C82714"/>
    <w:rsid w:val="00CB4A01"/>
    <w:rsid w:val="00D607E2"/>
    <w:rsid w:val="00DC12FF"/>
    <w:rsid w:val="00DE4137"/>
    <w:rsid w:val="00DE60AC"/>
    <w:rsid w:val="00DE7F80"/>
    <w:rsid w:val="00EE378C"/>
    <w:rsid w:val="00F123DE"/>
    <w:rsid w:val="00F2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680</TotalTime>
  <Pages>1</Pages>
  <Words>3651</Words>
  <Characters>20816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22</cp:revision>
  <dcterms:created xsi:type="dcterms:W3CDTF">2026-02-12T06:47:00Z</dcterms:created>
  <dcterms:modified xsi:type="dcterms:W3CDTF">2026-05-05T06:09:00Z</dcterms:modified>
</cp:coreProperties>
</file>