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1393" w14:textId="77777777" w:rsidR="00637337" w:rsidRDefault="00637337" w:rsidP="00637337">
      <w:pPr>
        <w:rPr>
          <w:lang w:val="ru-RU"/>
        </w:rPr>
      </w:pPr>
    </w:p>
    <w:p w14:paraId="022F6B82" w14:textId="77777777" w:rsidR="00637337" w:rsidRPr="00B820B5" w:rsidRDefault="00637337" w:rsidP="00637337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  <w:r w:rsidRPr="006B535C">
        <w:rPr>
          <w:rFonts w:ascii="Times New Roman" w:eastAsia="Times New Roman" w:hAnsi="Times New Roman"/>
          <w:sz w:val="24"/>
          <w:szCs w:val="24"/>
        </w:rPr>
        <w:t>№ _____ Шартқа №2 қосымша"___" ___________ 202__г.</w:t>
      </w:r>
    </w:p>
    <w:p w14:paraId="703C0AA1" w14:textId="77777777" w:rsidR="00637337" w:rsidRDefault="00637337" w:rsidP="0063733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0" w:name="_Toc26796954"/>
    </w:p>
    <w:p w14:paraId="4A70A95E" w14:textId="77777777" w:rsidR="00637337" w:rsidRPr="006B535C" w:rsidRDefault="00637337" w:rsidP="0063733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6B53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ТЕХНИКАЛЫҚ СИПАТТАМА</w:t>
      </w:r>
    </w:p>
    <w:p w14:paraId="5F1E54B0" w14:textId="3C565E5D" w:rsidR="00637337" w:rsidRDefault="00637337" w:rsidP="00637337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6B53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(</w:t>
      </w:r>
      <w:proofErr w:type="spellStart"/>
      <w:r w:rsidR="00655357" w:rsidRPr="00655357">
        <w:rPr>
          <w:rFonts w:ascii="Times New Roman" w:hAnsi="Times New Roman" w:cs="Times New Roman"/>
          <w:b/>
          <w:bCs/>
          <w:sz w:val="24"/>
          <w:szCs w:val="24"/>
        </w:rPr>
        <w:t>Өзін-өзі</w:t>
      </w:r>
      <w:proofErr w:type="spellEnd"/>
      <w:r w:rsidR="00655357" w:rsidRPr="00655357">
        <w:rPr>
          <w:rFonts w:ascii="Times New Roman" w:hAnsi="Times New Roman" w:cs="Times New Roman"/>
          <w:b/>
          <w:bCs/>
          <w:sz w:val="24"/>
          <w:szCs w:val="24"/>
        </w:rPr>
        <w:t xml:space="preserve"> іске </w:t>
      </w:r>
      <w:proofErr w:type="spellStart"/>
      <w:r w:rsidR="00655357" w:rsidRPr="00655357">
        <w:rPr>
          <w:rFonts w:ascii="Times New Roman" w:hAnsi="Times New Roman" w:cs="Times New Roman"/>
          <w:b/>
          <w:bCs/>
          <w:sz w:val="24"/>
          <w:szCs w:val="24"/>
        </w:rPr>
        <w:t>қосатын</w:t>
      </w:r>
      <w:proofErr w:type="spellEnd"/>
      <w:r w:rsidR="00655357" w:rsidRPr="006553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55357" w:rsidRPr="00655357">
        <w:rPr>
          <w:rFonts w:ascii="Times New Roman" w:hAnsi="Times New Roman" w:cs="Times New Roman"/>
          <w:b/>
          <w:bCs/>
          <w:sz w:val="24"/>
          <w:szCs w:val="24"/>
        </w:rPr>
        <w:t>ұнтақты</w:t>
      </w:r>
      <w:proofErr w:type="spellEnd"/>
      <w:r w:rsidR="00655357" w:rsidRPr="00655357">
        <w:rPr>
          <w:rFonts w:ascii="Times New Roman" w:hAnsi="Times New Roman" w:cs="Times New Roman"/>
          <w:b/>
          <w:bCs/>
          <w:sz w:val="24"/>
          <w:szCs w:val="24"/>
        </w:rPr>
        <w:t xml:space="preserve"> өрт сөндіру </w:t>
      </w:r>
      <w:proofErr w:type="spellStart"/>
      <w:r w:rsidR="00655357" w:rsidRPr="00655357">
        <w:rPr>
          <w:rFonts w:ascii="Times New Roman" w:hAnsi="Times New Roman" w:cs="Times New Roman"/>
          <w:b/>
          <w:bCs/>
          <w:sz w:val="24"/>
          <w:szCs w:val="24"/>
        </w:rPr>
        <w:t>модулі</w:t>
      </w:r>
      <w:proofErr w:type="spellEnd"/>
      <w:r w:rsidR="00655357" w:rsidRPr="00655357">
        <w:rPr>
          <w:rFonts w:ascii="Times New Roman" w:hAnsi="Times New Roman" w:cs="Times New Roman"/>
          <w:b/>
          <w:bCs/>
          <w:sz w:val="24"/>
          <w:szCs w:val="24"/>
        </w:rPr>
        <w:t xml:space="preserve"> МПП "Буран-2,5"</w:t>
      </w:r>
      <w:r w:rsidRPr="006B53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)</w:t>
      </w:r>
    </w:p>
    <w:bookmarkEnd w:id="0"/>
    <w:p w14:paraId="29A3C01A" w14:textId="77777777" w:rsidR="00637337" w:rsidRPr="00917B9B" w:rsidRDefault="00637337" w:rsidP="00637337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53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Жалпы </w:t>
      </w:r>
      <w:proofErr w:type="spellStart"/>
      <w:r w:rsidRPr="006B535C">
        <w:rPr>
          <w:rFonts w:ascii="Times New Roman" w:eastAsia="Times New Roman" w:hAnsi="Times New Roman"/>
          <w:b/>
          <w:sz w:val="24"/>
          <w:szCs w:val="24"/>
          <w:lang w:eastAsia="ru-RU"/>
        </w:rPr>
        <w:t>ережелер</w:t>
      </w:r>
      <w:proofErr w:type="spellEnd"/>
    </w:p>
    <w:p w14:paraId="0A0D68F6" w14:textId="6AE466E3" w:rsidR="00637337" w:rsidRPr="0090354A" w:rsidRDefault="00637337" w:rsidP="00637337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Өнім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беруші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Тапсырыс берушіге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мына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мекенжай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бойынша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жеткізуге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міндеттенеді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: Қазақстан Республикасы, Ақтөбе облысы, Жаңажол вахталық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кентінде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орналасқан "Өріктау Оперейтинг" ЖШС өндірістік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базасы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(Қазақстан Республикасы Ақтөбе облысы Мұғалжар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ауданының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аумағында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, Ақтөбе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қаласының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облыс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орталығынан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оңтүстікке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қарай 2</w:t>
      </w:r>
      <w:r w:rsidR="008A235F" w:rsidRPr="008A235F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км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қашықтықта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орналасқан) (бұдан әрі –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жеткізу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орны)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0 күнтізбелік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күн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ішінде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шартқа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қол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қойылған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күннен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бастап.</w:t>
      </w:r>
    </w:p>
    <w:p w14:paraId="3F804BBB" w14:textId="77777777" w:rsidR="00637337" w:rsidRPr="0090354A" w:rsidRDefault="00637337" w:rsidP="0063733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Тауарлардың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сипаттамасы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 талап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етілетін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техникалық,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сапалық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пайдалану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сипаттамалары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7E61EC6" w14:textId="77777777" w:rsidR="00637337" w:rsidRPr="00FE65E9" w:rsidRDefault="00637337" w:rsidP="00637337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4221F">
        <w:rPr>
          <w:rFonts w:ascii="Times New Roman" w:eastAsia="Times New Roman" w:hAnsi="Times New Roman"/>
          <w:sz w:val="24"/>
          <w:szCs w:val="24"/>
          <w:lang w:eastAsia="ru-RU"/>
        </w:rPr>
        <w:t>Өнім</w:t>
      </w:r>
      <w:proofErr w:type="spellEnd"/>
      <w:r w:rsidRPr="00C4221F">
        <w:rPr>
          <w:rFonts w:ascii="Times New Roman" w:eastAsia="Times New Roman" w:hAnsi="Times New Roman"/>
          <w:sz w:val="24"/>
          <w:szCs w:val="24"/>
          <w:lang w:eastAsia="ru-RU"/>
        </w:rPr>
        <w:t xml:space="preserve"> беруші осы техникалық ерекшелікке сәйкес Тапсырыс берушінің талаптарын қамтамасыз </w:t>
      </w:r>
      <w:proofErr w:type="spellStart"/>
      <w:r w:rsidRPr="00C4221F">
        <w:rPr>
          <w:rFonts w:ascii="Times New Roman" w:eastAsia="Times New Roman" w:hAnsi="Times New Roman"/>
          <w:sz w:val="24"/>
          <w:szCs w:val="24"/>
          <w:lang w:eastAsia="ru-RU"/>
        </w:rPr>
        <w:t>етуге</w:t>
      </w:r>
      <w:proofErr w:type="spellEnd"/>
      <w:r w:rsidRPr="00C4221F">
        <w:rPr>
          <w:rFonts w:ascii="Times New Roman" w:eastAsia="Times New Roman" w:hAnsi="Times New Roman"/>
          <w:sz w:val="24"/>
          <w:szCs w:val="24"/>
          <w:lang w:eastAsia="ru-RU"/>
        </w:rPr>
        <w:t xml:space="preserve"> міндетті</w:t>
      </w:r>
      <w:r w:rsidRPr="00FE65E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237639B" w14:textId="77777777" w:rsidR="00637337" w:rsidRPr="0090354A" w:rsidRDefault="00637337" w:rsidP="00637337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Жеткізілетін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сапасы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ҚР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аумағында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заңнамада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белгіленген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тауарлардың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осы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түріне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, сәйкестік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сертификаттарына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сондай-ақ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өнімнің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осы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түріне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қабылданған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техникалық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шарттарға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сертификаттар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паспорттар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қолданылатын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ГОСТ және/немесе ТУ (осы техникалық ерекшеліктің 2-бөліміне сәйкес) сәйкес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келуі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тиіс.  </w:t>
      </w:r>
    </w:p>
    <w:p w14:paraId="71F4E455" w14:textId="77777777" w:rsidR="00637337" w:rsidRPr="0090354A" w:rsidRDefault="00637337" w:rsidP="00637337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Өнім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беруші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жеткізілген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тауарға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берілістерді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қабылдау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актісіне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қол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қойылған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күннен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бастап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дайындаушы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белгілеген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кепілдік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мерзімі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ішінде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сапасына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сақтау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мерзіміне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кепілдік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береді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Кепілдік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мерзімі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шеңберінде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Өнім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беруші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ақаулы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және/немесе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ақауларды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жоюды,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тегін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ауыстыруды (не аталған ауыстыру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сапасы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мен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басқа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да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сипаттамаларының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нашарлауына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әкеп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соқтырмайтын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соңғы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әзірлемелерге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сәйкес келетін жағдайда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ақаулы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барлық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партиясын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ауыстыруды) немесе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мөлшеріне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сәйкес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келмейтін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ақауларды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жоюды,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тегін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ауыстыруды өз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есебінен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тәуекелмен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жүзеге асыруға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міндеттенеді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шарттың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талаптарына сәйкес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мерзімдер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AE88577" w14:textId="77777777" w:rsidR="00637337" w:rsidRPr="0090354A" w:rsidRDefault="00637337" w:rsidP="00637337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Жеткізуші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тасымалдаудың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сақтаудың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қалыпты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жағдайларында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зақымдануды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немесе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жоғалтуды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болдырмау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үшін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тиеу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тасымалдау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кезінде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сақталуын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қамтамасыз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ететін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барлық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жеткізілетін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қаптамасын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тиісті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ыдысты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) қамтамасыз етеді.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Контейнердің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қаптаманың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таңбалаудың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құны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құнына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кіреді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Қаптама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Қазақстан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Республикасының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қолданыстағы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заңнамасының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халықаралық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нормалардың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белгіленген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талаптарына сәйкес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таңбалануы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тиіс.</w:t>
      </w:r>
    </w:p>
    <w:p w14:paraId="25551859" w14:textId="77777777" w:rsidR="00637337" w:rsidRPr="0090354A" w:rsidRDefault="00637337" w:rsidP="00637337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Егер алынған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сырттай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қарау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кезінде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көрінетін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ақаулар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немесе ерекшеліктің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жекелеген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бөліктерінің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сәйкес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келмеуі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анықталса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сапалы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емес немесе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стандарттарға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сәйкес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келмейтіні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анықталса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, Тапсырыс беруші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қабылдаудан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бас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тартуға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құқылы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бұл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туралы барлық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байқалған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кемшіліктер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көрсетілетін акт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жасалады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C93DA4F" w14:textId="77777777" w:rsidR="00637337" w:rsidRPr="0090354A" w:rsidRDefault="00637337" w:rsidP="00637337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Ақаулы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және/немесе сәйкес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келмейтін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жеткізуге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қайтаруға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байланысты барлық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көлік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басқа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шығындарды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жеткізуші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төлейді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F2AE994" w14:textId="3D47D038" w:rsidR="00637337" w:rsidRPr="0090354A" w:rsidRDefault="00637337" w:rsidP="00637337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Өнім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беруші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сатылған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жаңа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(202</w:t>
      </w:r>
      <w:r w:rsidR="00655357">
        <w:rPr>
          <w:rFonts w:ascii="Times New Roman" w:eastAsia="Times New Roman" w:hAnsi="Times New Roman"/>
          <w:sz w:val="24"/>
          <w:szCs w:val="24"/>
          <w:lang w:val="kk-KZ" w:eastAsia="ru-RU"/>
        </w:rPr>
        <w:t>6</w:t>
      </w:r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жылдан ерте емес) және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оған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меншік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құқығымен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тиесілі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кепілге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қойылмағанына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қамауға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алынбағанына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үшінші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тұлғалардың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дау-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дамайының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нысанасы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болып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табылмайтынына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кепілдік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береді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C4FCDA7" w14:textId="77777777" w:rsidR="00637337" w:rsidRDefault="00637337" w:rsidP="00637337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Жеткізілген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саны немесе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ассортименті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бойынша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тауарға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ілеспе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құжаттарға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және/немесе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шартқа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қосымшаларға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қарсы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алшақтықтар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анықталған жағдайда,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өнім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беруші Тапсырыс берушінің талабы бойынша шарт талаптарына сәйкес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мерзімдерде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КО талаптарына сәйкес келетін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тауардың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жетіспейтін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санын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жеткізуді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жүргізуге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міндетті.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Бұл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ретте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өнім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беруші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осымен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Тапсырыс берушінің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тауарды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жеткізуге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байланысты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шығыстарды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өтеуден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босатылатынын</w:t>
      </w:r>
      <w:proofErr w:type="spellEnd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0354A">
        <w:rPr>
          <w:rFonts w:ascii="Times New Roman" w:eastAsia="Times New Roman" w:hAnsi="Times New Roman"/>
          <w:sz w:val="24"/>
          <w:szCs w:val="24"/>
          <w:lang w:eastAsia="ru-RU"/>
        </w:rPr>
        <w:t>растайды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9C0948B" w14:textId="7E844CC8" w:rsidR="00637337" w:rsidRPr="005F3F59" w:rsidRDefault="00637337" w:rsidP="0063733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3F5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FAF76CD" w14:textId="77777777" w:rsidR="008A235F" w:rsidRPr="008A235F" w:rsidRDefault="008A235F" w:rsidP="008A23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lastRenderedPageBreak/>
        <w:t xml:space="preserve">1.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Мақсаты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және жалпы талаптар</w:t>
      </w:r>
    </w:p>
    <w:p w14:paraId="296D63F3" w14:textId="77777777" w:rsidR="008A235F" w:rsidRPr="008A235F" w:rsidRDefault="008A235F" w:rsidP="008A23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Мақсаты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Ұнтақты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өртсөндіру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модульдері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модульдік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типтегі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автоматты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ұнтақты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өртсөндіру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қондырғыларында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А, В, С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класындағы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өрттерді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және 1000 В дейінгі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кернеудегі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электр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жабдықтарын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класы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)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оқшаулауға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және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сөндіруге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арналған. Өндірістік,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қоймалық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тұрмыстық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үй-жайларды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гараждарды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кабельдік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арналарды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және шатыр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асты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кеңістіктерін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қорғауға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арналған.</w:t>
      </w:r>
    </w:p>
    <w:p w14:paraId="64A03412" w14:textId="77777777" w:rsidR="008A235F" w:rsidRPr="008A235F" w:rsidRDefault="008A235F" w:rsidP="008A23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Модульдің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түрі:</w:t>
      </w: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Төбеге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бекітілетін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стационарлық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импульстік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әрекеттегі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(іске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қосылған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кезде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өртсөндіргіш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ұнтақтың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лезде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берілуін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қамтамасыз етеді).</w:t>
      </w:r>
    </w:p>
    <w:p w14:paraId="70FA8BB9" w14:textId="77777777" w:rsidR="008A235F" w:rsidRPr="008A235F" w:rsidRDefault="008A235F" w:rsidP="008A23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Қолдану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бойынша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шектеулер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Сілтілі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және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сілтілі-жер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металдардың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сондай-ақ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ауаның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қолжетімділігінсіз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жануы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мүмкін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заттардың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тұтануын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сөндіруге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арналмаған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56CF3BB5" w14:textId="77777777" w:rsidR="008A235F" w:rsidRPr="008A235F" w:rsidRDefault="008A235F" w:rsidP="008A23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2. Техникалық және құрылымдық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сипаттамалары</w:t>
      </w:r>
      <w:proofErr w:type="spellEnd"/>
    </w:p>
    <w:p w14:paraId="67326033" w14:textId="77777777" w:rsidR="008A235F" w:rsidRPr="008A235F" w:rsidRDefault="008A235F" w:rsidP="008A23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Өртсөндіргіш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ұнтақ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зарядының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массасы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1,95 кг-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кем емес (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модульдің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толық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массасы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2,9 кг-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аспайды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).</w:t>
      </w:r>
    </w:p>
    <w:p w14:paraId="12A16F61" w14:textId="77777777" w:rsidR="008A235F" w:rsidRPr="008A235F" w:rsidRDefault="008A235F" w:rsidP="008A23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Іске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қосу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инициациялау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)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тәсілі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Электрлік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автоматты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жүйелердің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өрт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қабылдау-бақылау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аспаптары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өндіретін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тоқ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импульсінен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).</w:t>
      </w:r>
    </w:p>
    <w:p w14:paraId="563A9076" w14:textId="77777777" w:rsidR="008A235F" w:rsidRPr="008A235F" w:rsidRDefault="008A235F" w:rsidP="008A23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Іске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қосу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тізбегінің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электрлік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параметрлері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</w:p>
    <w:p w14:paraId="1FC4EFDD" w14:textId="77777777" w:rsidR="008A235F" w:rsidRPr="008A235F" w:rsidRDefault="008A235F" w:rsidP="008A235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Тізбекті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қауіпсіз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бақылау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тоғы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: 0,03 А-дан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аспайды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;</w:t>
      </w:r>
    </w:p>
    <w:p w14:paraId="6132A176" w14:textId="77777777" w:rsidR="008A235F" w:rsidRPr="008A235F" w:rsidRDefault="008A235F" w:rsidP="008A235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Іске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тоғы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кепілді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іске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қосылу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): 0,1 А-дан 0,5 А-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ға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дейінгі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шекте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инициациялау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көзінің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модификациясына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байланысты);</w:t>
      </w:r>
    </w:p>
    <w:p w14:paraId="6E692433" w14:textId="77777777" w:rsidR="008A235F" w:rsidRPr="008A235F" w:rsidRDefault="008A235F" w:rsidP="008A235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Іске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элементі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көпіршігінің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электрлік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кедергісі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 8,0-ден 20,0 Ом-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ға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дейін.</w:t>
      </w:r>
    </w:p>
    <w:p w14:paraId="529EADCA" w14:textId="77777777" w:rsidR="008A235F" w:rsidRPr="008A235F" w:rsidRDefault="008A235F" w:rsidP="008A23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Өртсөндіру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қабілеті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/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Қорғалатын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аймақ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орнату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биіктігі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2,5–3,5 м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болғанда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):</w:t>
      </w:r>
    </w:p>
    <w:p w14:paraId="2C7E0290" w14:textId="77777777" w:rsidR="008A235F" w:rsidRPr="008A235F" w:rsidRDefault="008A235F" w:rsidP="008A235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А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класындағы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өрттер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қорғалатын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алаң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7,0 м²-ден кем емес,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қорғалатын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көлем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18,0 м³-ден кем емес;</w:t>
      </w:r>
    </w:p>
    <w:p w14:paraId="79352287" w14:textId="77777777" w:rsidR="008A235F" w:rsidRPr="008A235F" w:rsidRDefault="008A235F" w:rsidP="008A235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В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класындағы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өрттер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қорғалатын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алаң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7,0 м²-ден кем емес,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қорғалатын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көлем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16,0 м³-ден кем емес.</w:t>
      </w:r>
    </w:p>
    <w:p w14:paraId="067A9B8B" w14:textId="77777777" w:rsidR="008A235F" w:rsidRPr="008A235F" w:rsidRDefault="008A235F" w:rsidP="008A23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Құрылымдық орындалуы:</w:t>
      </w: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Модуль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ұнтақпен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толтырылған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жарты шар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пішінді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болат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корпустан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электрлік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белсендіру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элементі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бар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салқын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газ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көзінен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(газ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генераторынан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) және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кертіктері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бар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төменгі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жарылатын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мембранадан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тұрады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Жиынтықта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төбеге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бекітетін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кронштейн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жеткізілуі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тиіс.</w:t>
      </w:r>
    </w:p>
    <w:p w14:paraId="28ADD8C6" w14:textId="09039789" w:rsidR="008A235F" w:rsidRPr="008A235F" w:rsidRDefault="008A235F" w:rsidP="008A23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Бұйымның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қызмет ету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мерзімі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10 жылдан кем емес. Модуль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бүкіл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пайдалану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мерзімі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ішінде толық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автономды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болуы тиіс және жыл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сайын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қайта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зарядтауды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талап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етпейді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3061DD07" w14:textId="77777777" w:rsidR="008A235F" w:rsidRPr="008A235F" w:rsidRDefault="008A235F" w:rsidP="008A23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3.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Сертификаттауға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стандарттарға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және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сапаға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қойылатын талаптар</w:t>
      </w:r>
    </w:p>
    <w:p w14:paraId="356918C1" w14:textId="77777777" w:rsidR="008A235F" w:rsidRPr="008A235F" w:rsidRDefault="008A235F" w:rsidP="008A23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Стандарттарға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сәйкестігі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Жеткізілетін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тауар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автоматты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өртсөндіру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жүйелеріне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арналған ҚР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мемлекетаралық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және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ұлттық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стандарттарының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талаптарына қатаң сәйкес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келуі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тиіс.</w:t>
      </w:r>
    </w:p>
    <w:p w14:paraId="1BE77B55" w14:textId="77777777" w:rsidR="008A235F" w:rsidRPr="008A235F" w:rsidRDefault="008A235F" w:rsidP="008A23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Міндетті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сертификаттау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Тауардың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«Өрт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қауіпсіздігін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және өртті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сөндіруді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қамтамасыз ету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құралдарына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қойылатын талаптар туралы» </w:t>
      </w:r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ЕАЭО ТР 043/2017</w:t>
      </w: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талаптарына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сәйкестігі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туралы қолданыстағы Сертификаты болуы тиіс (ҰӨМ-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нің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нақты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атауы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көрсетілген).</w:t>
      </w:r>
    </w:p>
    <w:p w14:paraId="1A732FD7" w14:textId="77777777" w:rsidR="008A235F" w:rsidRPr="008A235F" w:rsidRDefault="008A235F" w:rsidP="008A23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Тауардың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күйі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:</w:t>
      </w: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Тауар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жаңа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пайдаланылмаған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қалпына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келтірілмеген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болуы тиіс.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Корпустың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майысқан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бояуы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түскен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және коррозия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іздері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болмауы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тиіс, іске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элементінің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сымды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шығыстары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оқшауланған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және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сынықтары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болмауы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тиіс.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Тауардың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шығарылған жылы — 2026 жылдан ерте емес.</w:t>
      </w:r>
    </w:p>
    <w:p w14:paraId="4FFF1B47" w14:textId="77777777" w:rsidR="008A235F" w:rsidRPr="008A235F" w:rsidRDefault="008A235F" w:rsidP="008A23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lastRenderedPageBreak/>
        <w:t xml:space="preserve">4.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Жиынтықтылыққа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және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ілеспе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құжаттамаға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қойылатын талаптар</w:t>
      </w:r>
    </w:p>
    <w:p w14:paraId="08C65A46" w14:textId="77777777" w:rsidR="008A235F" w:rsidRPr="008A235F" w:rsidRDefault="008A235F" w:rsidP="008A2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Өнім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беруші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Тауардың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әрбір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бірлігін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жеткізу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кезінде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келесілерді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ұсынуға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міндеттенеді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:</w:t>
      </w:r>
    </w:p>
    <w:p w14:paraId="3C81DCFD" w14:textId="77777777" w:rsidR="008A235F" w:rsidRPr="008A235F" w:rsidRDefault="008A235F" w:rsidP="008A23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ТББ (ОТК)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белгісі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және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жарақтандырылған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көрсетілген, мемлекеттік (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қазақ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) және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орыс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тілдеріндегі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дайындаушы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зауыттың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бұйым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төлқұжатының</w:t>
      </w:r>
      <w:proofErr w:type="spellEnd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түпнұсқасын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(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пайдалану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жөніндегі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нұсқаулықты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).</w:t>
      </w:r>
    </w:p>
    <w:p w14:paraId="5D079A2B" w14:textId="77777777" w:rsidR="008A235F" w:rsidRPr="008A235F" w:rsidRDefault="008A235F" w:rsidP="008A23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ЕАЭО ТР 043/2017 талаптарына сәйкестік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сертификатының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 xml:space="preserve">қолданыстағы </w:t>
      </w:r>
      <w:proofErr w:type="spellStart"/>
      <w:r w:rsidRPr="008A23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KZ" w:eastAsia="ru-KZ"/>
          <w14:ligatures w14:val="none"/>
        </w:rPr>
        <w:t>көшірмесін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.</w:t>
      </w:r>
    </w:p>
    <w:p w14:paraId="07B24FAC" w14:textId="77777777" w:rsidR="008A235F" w:rsidRPr="008A235F" w:rsidRDefault="008A235F" w:rsidP="008A23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Әрбір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модульдің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корпусында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өндірушінің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тауар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белгісі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шығарылған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күні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ұнтақ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маркасы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және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электрлік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шығыстарды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қосу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схемасы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көрсетілген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анық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таңбалау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>жазылуы</w:t>
      </w:r>
      <w:proofErr w:type="spellEnd"/>
      <w:r w:rsidRPr="008A235F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t xml:space="preserve"> тиіс.</w:t>
      </w:r>
    </w:p>
    <w:p w14:paraId="7B54E38A" w14:textId="77777777" w:rsidR="007A63FC" w:rsidRPr="008A235F" w:rsidRDefault="007A63FC" w:rsidP="007A63FC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ru-KZ"/>
        </w:rPr>
      </w:pPr>
    </w:p>
    <w:p w14:paraId="4C38779D" w14:textId="77777777" w:rsidR="00637337" w:rsidRPr="00C87B84" w:rsidRDefault="00637337" w:rsidP="006373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87B84">
        <w:rPr>
          <w:rFonts w:ascii="Times New Roman" w:hAnsi="Times New Roman" w:cs="Times New Roman"/>
          <w:b/>
          <w:bCs/>
          <w:sz w:val="24"/>
          <w:szCs w:val="24"/>
        </w:rPr>
        <w:t>Ақы</w:t>
      </w:r>
      <w:proofErr w:type="spellEnd"/>
      <w:r w:rsidRPr="00C87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B84">
        <w:rPr>
          <w:rFonts w:ascii="Times New Roman" w:hAnsi="Times New Roman" w:cs="Times New Roman"/>
          <w:b/>
          <w:bCs/>
          <w:sz w:val="24"/>
          <w:szCs w:val="24"/>
        </w:rPr>
        <w:t>төлеу</w:t>
      </w:r>
      <w:proofErr w:type="spellEnd"/>
      <w:r w:rsidRPr="00C87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B84">
        <w:rPr>
          <w:rFonts w:ascii="Times New Roman" w:hAnsi="Times New Roman" w:cs="Times New Roman"/>
          <w:b/>
          <w:bCs/>
          <w:sz w:val="24"/>
          <w:szCs w:val="24"/>
        </w:rPr>
        <w:t>шарттары</w:t>
      </w:r>
      <w:proofErr w:type="spellEnd"/>
      <w:r w:rsidRPr="00C87B8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87B84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C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B84">
        <w:rPr>
          <w:rFonts w:ascii="Times New Roman" w:hAnsi="Times New Roman" w:cs="Times New Roman"/>
          <w:sz w:val="24"/>
          <w:szCs w:val="24"/>
        </w:rPr>
        <w:t>жеткізгеннен</w:t>
      </w:r>
      <w:proofErr w:type="spellEnd"/>
      <w:r w:rsidRPr="00C87B84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C87B84">
        <w:rPr>
          <w:rFonts w:ascii="Times New Roman" w:hAnsi="Times New Roman" w:cs="Times New Roman"/>
          <w:sz w:val="24"/>
          <w:szCs w:val="24"/>
        </w:rPr>
        <w:t>қабылдағаннан</w:t>
      </w:r>
      <w:proofErr w:type="spellEnd"/>
      <w:r w:rsidRPr="00C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B8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C87B84">
        <w:rPr>
          <w:rFonts w:ascii="Times New Roman" w:hAnsi="Times New Roman" w:cs="Times New Roman"/>
          <w:sz w:val="24"/>
          <w:szCs w:val="24"/>
        </w:rPr>
        <w:t xml:space="preserve"> 100%</w:t>
      </w:r>
    </w:p>
    <w:p w14:paraId="2D519E46" w14:textId="77777777" w:rsidR="00637337" w:rsidRPr="005F3F59" w:rsidRDefault="00637337" w:rsidP="006373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F3F59">
        <w:rPr>
          <w:rFonts w:ascii="Times New Roman" w:hAnsi="Times New Roman" w:cs="Times New Roman"/>
          <w:b/>
          <w:bCs/>
          <w:sz w:val="24"/>
          <w:szCs w:val="24"/>
        </w:rPr>
        <w:t>Жеткізу</w:t>
      </w:r>
      <w:proofErr w:type="spellEnd"/>
      <w:r w:rsidRPr="005F3F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59">
        <w:rPr>
          <w:rFonts w:ascii="Times New Roman" w:hAnsi="Times New Roman" w:cs="Times New Roman"/>
          <w:b/>
          <w:bCs/>
          <w:sz w:val="24"/>
          <w:szCs w:val="24"/>
        </w:rPr>
        <w:t>шарттары</w:t>
      </w:r>
      <w:proofErr w:type="spellEnd"/>
      <w:r w:rsidRPr="005F3F59">
        <w:rPr>
          <w:rFonts w:ascii="Times New Roman" w:hAnsi="Times New Roman" w:cs="Times New Roman"/>
          <w:sz w:val="24"/>
          <w:szCs w:val="24"/>
        </w:rPr>
        <w:t>: DDP (</w:t>
      </w:r>
      <w:proofErr w:type="spellStart"/>
      <w:r w:rsidRPr="005F3F59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5F3F59">
        <w:rPr>
          <w:rFonts w:ascii="Times New Roman" w:hAnsi="Times New Roman" w:cs="Times New Roman"/>
          <w:sz w:val="24"/>
          <w:szCs w:val="24"/>
        </w:rPr>
        <w:t>)</w:t>
      </w:r>
    </w:p>
    <w:p w14:paraId="2F31ADE9" w14:textId="27CE8660" w:rsidR="00637337" w:rsidRDefault="00637337" w:rsidP="0063733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F3F59">
        <w:rPr>
          <w:rFonts w:ascii="Times New Roman" w:hAnsi="Times New Roman" w:cs="Times New Roman"/>
          <w:b/>
          <w:bCs/>
          <w:sz w:val="24"/>
          <w:szCs w:val="24"/>
        </w:rPr>
        <w:t>Жеткізу</w:t>
      </w:r>
      <w:proofErr w:type="spellEnd"/>
      <w:r w:rsidRPr="005F3F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3F59">
        <w:rPr>
          <w:rFonts w:ascii="Times New Roman" w:hAnsi="Times New Roman" w:cs="Times New Roman"/>
          <w:b/>
          <w:bCs/>
          <w:sz w:val="24"/>
          <w:szCs w:val="24"/>
        </w:rPr>
        <w:t>мерзімі</w:t>
      </w:r>
      <w:proofErr w:type="spellEnd"/>
      <w:r w:rsidRPr="005F3F59">
        <w:rPr>
          <w:rFonts w:ascii="Times New Roman" w:hAnsi="Times New Roman" w:cs="Times New Roman"/>
          <w:sz w:val="24"/>
          <w:szCs w:val="24"/>
        </w:rPr>
        <w:t xml:space="preserve">: </w:t>
      </w:r>
      <w:r w:rsidRPr="00C87B84">
        <w:rPr>
          <w:rFonts w:ascii="Times New Roman" w:hAnsi="Times New Roman" w:cs="Times New Roman"/>
          <w:sz w:val="24"/>
          <w:szCs w:val="24"/>
          <w:lang w:val="kk-KZ"/>
        </w:rPr>
        <w:t>шартқа қол қойылған күннен бастап -</w:t>
      </w:r>
      <w:r w:rsidR="00F0411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87B84">
        <w:rPr>
          <w:rFonts w:ascii="Times New Roman" w:hAnsi="Times New Roman" w:cs="Times New Roman"/>
          <w:sz w:val="24"/>
          <w:szCs w:val="24"/>
          <w:lang w:val="kk-KZ"/>
        </w:rPr>
        <w:t>0 күнтізбелік күн ішінде жүзеге асырылады.</w:t>
      </w:r>
    </w:p>
    <w:p w14:paraId="1FE98C41" w14:textId="77777777" w:rsidR="00637337" w:rsidRPr="00145480" w:rsidRDefault="00637337" w:rsidP="00637337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378E56" w14:textId="77777777" w:rsidR="005A3AC5" w:rsidRDefault="005A3AC5"/>
    <w:sectPr w:rsidR="005A3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6DD"/>
    <w:multiLevelType w:val="multilevel"/>
    <w:tmpl w:val="9534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067ED"/>
    <w:multiLevelType w:val="multilevel"/>
    <w:tmpl w:val="88E8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BB50AE"/>
    <w:multiLevelType w:val="multilevel"/>
    <w:tmpl w:val="CF3A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17826"/>
    <w:multiLevelType w:val="hybridMultilevel"/>
    <w:tmpl w:val="36EA26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F48E2"/>
    <w:multiLevelType w:val="multilevel"/>
    <w:tmpl w:val="8746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65AC3"/>
    <w:multiLevelType w:val="multilevel"/>
    <w:tmpl w:val="428C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6F6753"/>
    <w:multiLevelType w:val="multilevel"/>
    <w:tmpl w:val="379E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98784">
    <w:abstractNumId w:val="7"/>
  </w:num>
  <w:num w:numId="2" w16cid:durableId="462231214">
    <w:abstractNumId w:val="2"/>
  </w:num>
  <w:num w:numId="3" w16cid:durableId="374358434">
    <w:abstractNumId w:val="6"/>
  </w:num>
  <w:num w:numId="4" w16cid:durableId="1963805945">
    <w:abstractNumId w:val="3"/>
  </w:num>
  <w:num w:numId="5" w16cid:durableId="811754473">
    <w:abstractNumId w:val="4"/>
  </w:num>
  <w:num w:numId="6" w16cid:durableId="791827483">
    <w:abstractNumId w:val="1"/>
  </w:num>
  <w:num w:numId="7" w16cid:durableId="1819222025">
    <w:abstractNumId w:val="8"/>
  </w:num>
  <w:num w:numId="8" w16cid:durableId="628974635">
    <w:abstractNumId w:val="5"/>
  </w:num>
  <w:num w:numId="9" w16cid:durableId="5381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50"/>
    <w:rsid w:val="002F6EAE"/>
    <w:rsid w:val="005A3AC5"/>
    <w:rsid w:val="005C1450"/>
    <w:rsid w:val="00637337"/>
    <w:rsid w:val="00655357"/>
    <w:rsid w:val="007A63FC"/>
    <w:rsid w:val="008A235F"/>
    <w:rsid w:val="00C0509D"/>
    <w:rsid w:val="00EA351D"/>
    <w:rsid w:val="00EB6D39"/>
    <w:rsid w:val="00F04111"/>
    <w:rsid w:val="00F5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285A"/>
  <w15:chartTrackingRefBased/>
  <w15:docId w15:val="{43BF2525-CB27-4D3D-BF74-CE750803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337"/>
  </w:style>
  <w:style w:type="paragraph" w:styleId="1">
    <w:name w:val="heading 1"/>
    <w:basedOn w:val="a"/>
    <w:next w:val="a"/>
    <w:link w:val="10"/>
    <w:uiPriority w:val="9"/>
    <w:qFormat/>
    <w:rsid w:val="005C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45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45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4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4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4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4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4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14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45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45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145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3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 Арман Кавашевич</dc:creator>
  <cp:keywords/>
  <dc:description/>
  <cp:lastModifiedBy>Кадыров Арман Кавашевич</cp:lastModifiedBy>
  <cp:revision>7</cp:revision>
  <dcterms:created xsi:type="dcterms:W3CDTF">2026-05-22T07:15:00Z</dcterms:created>
  <dcterms:modified xsi:type="dcterms:W3CDTF">2026-06-19T11:56:00Z</dcterms:modified>
</cp:coreProperties>
</file>