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7B58" w14:textId="77777777" w:rsidR="00A23206" w:rsidRDefault="00A23206" w:rsidP="00A232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72297">
        <w:rPr>
          <w:rFonts w:ascii="Times New Roman" w:eastAsia="Times New Roman" w:hAnsi="Times New Roman"/>
          <w:sz w:val="24"/>
          <w:szCs w:val="24"/>
        </w:rPr>
        <w:t>Приложение</w:t>
      </w:r>
      <w:r w:rsidRPr="0047229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72297">
        <w:rPr>
          <w:rFonts w:ascii="Times New Roman" w:eastAsia="Times New Roman" w:hAnsi="Times New Roman"/>
          <w:sz w:val="24"/>
          <w:szCs w:val="24"/>
        </w:rPr>
        <w:t xml:space="preserve"> к</w:t>
      </w:r>
      <w:r w:rsidRPr="0047229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Договору № _____ от «___» ___________ 20</w:t>
      </w:r>
      <w:r>
        <w:rPr>
          <w:rFonts w:ascii="Times New Roman" w:eastAsia="Times New Roman" w:hAnsi="Times New Roman"/>
          <w:sz w:val="24"/>
          <w:szCs w:val="24"/>
        </w:rPr>
        <w:t>2__г.</w:t>
      </w:r>
    </w:p>
    <w:p w14:paraId="28649871" w14:textId="77777777" w:rsidR="00A23206" w:rsidRPr="00B820B5" w:rsidRDefault="00A23206" w:rsidP="00A23206">
      <w:pPr>
        <w:spacing w:after="0" w:line="240" w:lineRule="auto"/>
        <w:jc w:val="right"/>
        <w:rPr>
          <w:rFonts w:ascii="Times New Roman" w:eastAsia="Times New Roman" w:hAnsi="Times New Roman"/>
          <w:sz w:val="8"/>
          <w:szCs w:val="8"/>
        </w:rPr>
      </w:pPr>
    </w:p>
    <w:p w14:paraId="3638E6BE" w14:textId="77777777" w:rsidR="00A23206" w:rsidRDefault="00A23206" w:rsidP="00A23206">
      <w:pPr>
        <w:pStyle w:val="32"/>
        <w:shd w:val="clear" w:color="auto" w:fill="auto"/>
        <w:spacing w:after="0" w:line="240" w:lineRule="auto"/>
        <w:ind w:left="3580"/>
        <w:jc w:val="left"/>
        <w:rPr>
          <w:color w:val="000000"/>
          <w:sz w:val="24"/>
          <w:szCs w:val="24"/>
          <w:lang w:bidi="ru-RU"/>
        </w:rPr>
      </w:pPr>
    </w:p>
    <w:p w14:paraId="3FF8D523" w14:textId="77777777" w:rsidR="00A23206" w:rsidRDefault="00A23206" w:rsidP="00A23206">
      <w:pPr>
        <w:pStyle w:val="32"/>
        <w:shd w:val="clear" w:color="auto" w:fill="auto"/>
        <w:spacing w:after="0" w:line="240" w:lineRule="auto"/>
      </w:pPr>
      <w:r>
        <w:rPr>
          <w:color w:val="000000"/>
          <w:sz w:val="24"/>
          <w:szCs w:val="24"/>
          <w:lang w:bidi="ru-RU"/>
        </w:rPr>
        <w:t>ТЕХНИЧЕСКАЯ СПЕЦИФИКАЦИЯ</w:t>
      </w:r>
    </w:p>
    <w:p w14:paraId="4815743C" w14:textId="4A9341F1" w:rsidR="00A23206" w:rsidRDefault="00A23206" w:rsidP="00A23206">
      <w:pPr>
        <w:spacing w:after="0"/>
        <w:jc w:val="center"/>
        <w:rPr>
          <w:color w:val="000000"/>
          <w:sz w:val="24"/>
          <w:szCs w:val="24"/>
          <w:lang w:val="ru-RU" w:bidi="ru-RU"/>
        </w:rPr>
      </w:pPr>
      <w:r>
        <w:rPr>
          <w:color w:val="000000"/>
          <w:sz w:val="24"/>
          <w:szCs w:val="24"/>
          <w:lang w:bidi="ru-RU"/>
        </w:rPr>
        <w:t>(</w:t>
      </w:r>
      <w:r w:rsidR="00D5180A" w:rsidRPr="00967C0B">
        <w:rPr>
          <w:rFonts w:ascii="Times New Roman" w:hAnsi="Times New Roman"/>
          <w:b/>
          <w:bCs/>
          <w14:ligatures w14:val="none"/>
        </w:rPr>
        <w:t>Модуль порошкового пожаротушения МПП "Буран-2,5" с самозапуском</w:t>
      </w:r>
      <w:r>
        <w:rPr>
          <w:color w:val="000000"/>
          <w:sz w:val="24"/>
          <w:szCs w:val="24"/>
          <w:lang w:bidi="ru-RU"/>
        </w:rPr>
        <w:t>)</w:t>
      </w:r>
    </w:p>
    <w:p w14:paraId="0152B881" w14:textId="77777777" w:rsidR="009A2C6F" w:rsidRPr="009A2C6F" w:rsidRDefault="009A2C6F" w:rsidP="00A232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A18F770" w14:textId="77777777" w:rsidR="00A23206" w:rsidRPr="009A2C6F" w:rsidRDefault="00A23206" w:rsidP="00A23206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26796954"/>
      <w:r w:rsidRPr="00917B9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  <w:bookmarkEnd w:id="0"/>
    </w:p>
    <w:p w14:paraId="18083A31" w14:textId="77777777" w:rsidR="009A2C6F" w:rsidRPr="00917B9B" w:rsidRDefault="009A2C6F" w:rsidP="009A2C6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D97521" w14:textId="54E1AFB2" w:rsidR="00A23206" w:rsidRPr="00844F2B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поставить товар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bookmarkStart w:id="1" w:name="_Hlk129792935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>Республика Казахстан, Актюбинская область, производственная база ТОО «Урихтау Оперейтинг» находящаяся в вахтовом поселке Жанажол (расположена на территории Мугалжарского района Актюбинской области Республики Казахстан, удаленного к югу от областного центра г. Актобе на расстоянии 2</w:t>
      </w:r>
      <w:r w:rsidR="0065444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60 </w:t>
      </w:r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км) </w:t>
      </w:r>
      <w:bookmarkEnd w:id="1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место поставки)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724988">
        <w:rPr>
          <w:rFonts w:ascii="Times New Roman" w:eastAsia="Times New Roman" w:hAnsi="Times New Roman"/>
          <w:sz w:val="24"/>
          <w:szCs w:val="24"/>
          <w:lang w:eastAsia="ru-RU"/>
        </w:rPr>
        <w:t>течение 60 календарных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подписания Договора</w:t>
      </w:r>
      <w:r w:rsidRPr="00F13F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36F4D20" w14:textId="77777777" w:rsidR="00A23206" w:rsidRPr="00D47F29" w:rsidRDefault="00A23206" w:rsidP="00A2320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47F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и требуемые технические, качественные и эксплуатационные характеристики товаров:</w:t>
      </w:r>
    </w:p>
    <w:p w14:paraId="0FEEB22C" w14:textId="77777777" w:rsidR="00A23206" w:rsidRPr="002E6E98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обеспечить требования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, согласно настоящей технической спецификации.</w:t>
      </w:r>
    </w:p>
    <w:p w14:paraId="53360B0A" w14:textId="77777777" w:rsidR="00A23206" w:rsidRPr="005B0F7A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поставляемого Товара должно соответствовать ГОСТам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и/или 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разделом 2 настоящей технической спецификации)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распространяемым на данный вид товаров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установленным законодательством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РК,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сертификатам соответствия,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а также техническим условиям, принятым на этот вид продукции (сертификаты, паспорта).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B525C4B" w14:textId="77777777" w:rsidR="00A23206" w:rsidRPr="005B0F7A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 качество Товара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хранения Товара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в течение гарантийного срока, установленного изготовителем со дня подписания акта приема передач к поставленному Товару. В рамках гарантийного срока Поставщик обязуется за свой счет и риск осуществить устранение, бесплатную замену бракованного товара и/или дефектов (либо произвести замену всей партии дефектного Товара при условии, что указанная замена не приведет к ухудшению качества и других характеристик Товара, и будет соответствовать последним разработкам)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 или не подошедших по размерам Товара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AB850A" w14:textId="77777777" w:rsidR="00A23206" w:rsidRPr="0014568E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обеспечит упаковку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соответству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ющую тару)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всего поставляемого Товара,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обеспечивающую сохранность Товара при погрузке и перевозке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избежать повреждения или потери при нормальных условиях транспортировки и хранения. Стоимость тары, упаковки и маркировки входит в стоимость Товара.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Упаковка должна быть промаркирована, в соответствии с установленными требованиями действующего законодательства Республики Казахстан и международных норм.</w:t>
      </w:r>
    </w:p>
    <w:p w14:paraId="2C1B714E" w14:textId="77777777" w:rsidR="00A23206" w:rsidRPr="005B0F7A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внешнем осмотре полученного товара будут обнаружены видимые дефекты либо несоответствия отдельных частей спецификации,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обнаружится, что Товар не качественный или не соответствует стандартам,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отказаться от приемки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об этом составляется акт, в котором указыва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тся все замеченные недостатки.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3D6784F" w14:textId="77777777" w:rsidR="00A23206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Все транспортные и другие расходы, связанные с поставкой и возвратом дефектного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несоответствующего Товара, оплачиваются Поставщиком.</w:t>
      </w:r>
    </w:p>
    <w:p w14:paraId="45D2374E" w14:textId="3B6AFECD" w:rsidR="00A23206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гарантирует, что реализованный товар </w:t>
      </w:r>
      <w:r w:rsidRPr="00B8247E">
        <w:rPr>
          <w:rFonts w:ascii="Times New Roman" w:eastAsia="Times New Roman" w:hAnsi="Times New Roman"/>
          <w:sz w:val="24"/>
          <w:szCs w:val="24"/>
          <w:lang w:eastAsia="ru-RU"/>
        </w:rPr>
        <w:t>новый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9AF">
        <w:rPr>
          <w:rFonts w:ascii="Times New Roman" w:hAnsi="Times New Roman"/>
          <w:sz w:val="24"/>
          <w:szCs w:val="24"/>
        </w:rPr>
        <w:t>(не ранее 202</w:t>
      </w:r>
      <w:r w:rsidR="00D31EE7">
        <w:rPr>
          <w:rFonts w:ascii="Times New Roman" w:hAnsi="Times New Roman"/>
          <w:sz w:val="24"/>
          <w:szCs w:val="24"/>
          <w:lang w:val="kk-KZ"/>
        </w:rPr>
        <w:t>6</w:t>
      </w:r>
      <w:r w:rsidRPr="000D09AF">
        <w:rPr>
          <w:rFonts w:ascii="Times New Roman" w:hAnsi="Times New Roman"/>
          <w:sz w:val="24"/>
          <w:szCs w:val="24"/>
        </w:rPr>
        <w:t xml:space="preserve"> года выпуска)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принадлежит ему в праве собственности, не заложен, не арестован, не является предметом спора третьих лиц. Передаваемые по товару документы действительны.</w:t>
      </w:r>
    </w:p>
    <w:p w14:paraId="2CA0858D" w14:textId="77777777" w:rsidR="00A23206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В случае обнаружения расхождений по количеству или ассортименту в поставленном Товаре против товаросопроводительных документов на Товар и/или Приложений к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по требованию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произвести допоставку недостающего количества Товар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соответствующ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</w:t>
      </w:r>
      <w:r w:rsidRPr="00036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Поставщик настоящим подтверждает,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освобождается от возмещения расходов, связанных с доставкой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6715E3C6" w14:textId="77777777" w:rsidR="00145480" w:rsidRPr="00A23206" w:rsidRDefault="00145480" w:rsidP="001A1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A2B08" w14:textId="77777777" w:rsidR="006461AE" w:rsidRPr="006461AE" w:rsidRDefault="006461AE" w:rsidP="006461AE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lastRenderedPageBreak/>
        <w:t>1. Назначение и общие требования</w:t>
      </w:r>
    </w:p>
    <w:p w14:paraId="1EF1BF4E" w14:textId="77777777" w:rsidR="006461AE" w:rsidRPr="006461AE" w:rsidRDefault="006461AE" w:rsidP="006461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Назначение:</w:t>
      </w: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Модули порошкового пожаротушения предназначены для локализации и тушения пожаров классов А, В, С и электрооборудования, находящегося под напряжением до 1000 В (класс Е), в автоматических установках порошкового пожаротушения модульного типа. Предназначаются для защиты производственных, складских, бытовых помещений, гаражей, кабельных каналов и чердачных пространств.</w:t>
      </w:r>
    </w:p>
    <w:p w14:paraId="3B44CE4E" w14:textId="77777777" w:rsidR="006461AE" w:rsidRPr="006461AE" w:rsidRDefault="006461AE" w:rsidP="006461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Тип модуля:</w:t>
      </w: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Потолочный, стационарный, импульсного действия (обеспечивает мгновенную подачу огнетушащего порошка при срабатывании).</w:t>
      </w:r>
    </w:p>
    <w:p w14:paraId="59AB5E4D" w14:textId="77777777" w:rsidR="006461AE" w:rsidRPr="006461AE" w:rsidRDefault="006461AE" w:rsidP="006461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Ограничения по применению:</w:t>
      </w: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Не предназначен для тушения загораний щелочных и щелочноземельных металлов, а также веществ, способных гореть без доступа воздуха.</w:t>
      </w:r>
    </w:p>
    <w:p w14:paraId="1E4D9341" w14:textId="77777777" w:rsidR="006461AE" w:rsidRPr="006461AE" w:rsidRDefault="006461AE" w:rsidP="006461AE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2. Технические и конструктивные характеристики</w:t>
      </w:r>
    </w:p>
    <w:p w14:paraId="2116F1F1" w14:textId="77777777" w:rsidR="006461AE" w:rsidRPr="006461AE" w:rsidRDefault="006461AE" w:rsidP="006461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Масса заряда огнетушащего порошка:</w:t>
      </w: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Не менее 1,95 кг (полная масса модуля не более 2,9 кг).</w:t>
      </w:r>
    </w:p>
    <w:p w14:paraId="084C6F6A" w14:textId="77777777" w:rsidR="006461AE" w:rsidRPr="006461AE" w:rsidRDefault="006461AE" w:rsidP="006461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Способ пуска (инициации):</w:t>
      </w: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Электрический (от импульса тока, вырабатываемого приборами приемно-контрольными пожарными автоматических систем).</w:t>
      </w:r>
    </w:p>
    <w:p w14:paraId="775AE635" w14:textId="77777777" w:rsidR="006461AE" w:rsidRPr="006461AE" w:rsidRDefault="006461AE" w:rsidP="006461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Электрические параметры пусковой цепи:</w:t>
      </w:r>
    </w:p>
    <w:p w14:paraId="753E8200" w14:textId="77777777" w:rsidR="006461AE" w:rsidRPr="006461AE" w:rsidRDefault="006461AE" w:rsidP="006461A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Ток безопасного контроля цепи: не более 0,03 А;</w:t>
      </w:r>
    </w:p>
    <w:p w14:paraId="7A0E38DA" w14:textId="77777777" w:rsidR="006461AE" w:rsidRPr="006461AE" w:rsidRDefault="006461AE" w:rsidP="006461A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Пусковой ток (гарантированного срабатывания): в пределах от 0,1 А до 0,5 А (в зависимости от модификации источника инициации);</w:t>
      </w:r>
    </w:p>
    <w:p w14:paraId="0EA7F0F8" w14:textId="77777777" w:rsidR="006461AE" w:rsidRPr="006461AE" w:rsidRDefault="006461AE" w:rsidP="006461A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Электрическое сопротивление мостика элемента запуска: от 8,0 до 20,0 Ом.</w:t>
      </w:r>
    </w:p>
    <w:p w14:paraId="5BD4119D" w14:textId="77777777" w:rsidR="006461AE" w:rsidRPr="006461AE" w:rsidRDefault="006461AE" w:rsidP="006461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Огнетушащая способность / Защищаемая зона (при высоте установки 2,5–3,5 м):</w:t>
      </w:r>
    </w:p>
    <w:p w14:paraId="71B4A4B9" w14:textId="77777777" w:rsidR="006461AE" w:rsidRPr="006461AE" w:rsidRDefault="006461AE" w:rsidP="006461A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Пожары класса А: защищаемая площадь не менее 7,0 м², защищаемый объем не менее 18,0 м³;</w:t>
      </w:r>
    </w:p>
    <w:p w14:paraId="3A20549A" w14:textId="77777777" w:rsidR="006461AE" w:rsidRPr="006461AE" w:rsidRDefault="006461AE" w:rsidP="006461A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Пожары класса В: защищаемая площадь не менее 7,0 м², защищаемый объем не менее 16,0 м³.</w:t>
      </w:r>
    </w:p>
    <w:p w14:paraId="055A7A7B" w14:textId="77777777" w:rsidR="006461AE" w:rsidRPr="006461AE" w:rsidRDefault="006461AE" w:rsidP="006461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Конструктивное исполнение:</w:t>
      </w: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Модуль состоит из стального корпуса полусферической формы, заполненного порошком, источника холодного газа (газогенератора) с электрическим активирующим элементом и нижней разрывной мембраны с насечками. В комплекте должен поставляться потолочный крепежный кронштейн.</w:t>
      </w:r>
    </w:p>
    <w:p w14:paraId="7B196EB0" w14:textId="15A5805F" w:rsidR="006461AE" w:rsidRPr="006461AE" w:rsidRDefault="006461AE" w:rsidP="006461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Срок службы изделия:</w:t>
      </w: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Не менее 10 лет. Модуль должен быть полностью автономным в течение всего срока эксплуатации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>.</w:t>
      </w:r>
    </w:p>
    <w:p w14:paraId="19B84403" w14:textId="77777777" w:rsidR="006461AE" w:rsidRPr="006461AE" w:rsidRDefault="006461AE" w:rsidP="006461AE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3. Требования к сертификации, стандартам и качеству</w:t>
      </w:r>
    </w:p>
    <w:p w14:paraId="4D15D41F" w14:textId="77777777" w:rsidR="006461AE" w:rsidRPr="006461AE" w:rsidRDefault="006461AE" w:rsidP="006461AE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Соответствие стандартам:</w:t>
      </w: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Поставляемый товар должен строго соответствовать требованиям межгосударственных и национальных стандартов РК для автоматических систем пожаротушения.</w:t>
      </w:r>
    </w:p>
    <w:p w14:paraId="59778978" w14:textId="77777777" w:rsidR="006461AE" w:rsidRPr="006461AE" w:rsidRDefault="006461AE" w:rsidP="006461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Обязательная сертификация:</w:t>
      </w: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Товар должен иметь действующий </w:t>
      </w: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Сертификат соответствия требованиям ТР ЕАЭС 043/2017</w:t>
      </w: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«О требованиях к средствам обеспечения пожарной безопасности и пожаротушения» (с указанием конкретного наименования МПП).</w:t>
      </w:r>
    </w:p>
    <w:p w14:paraId="59E1A320" w14:textId="77777777" w:rsidR="006461AE" w:rsidRPr="006461AE" w:rsidRDefault="006461AE" w:rsidP="006461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Состояние товара:</w:t>
      </w: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Товар должен быть новым, не бывшим в употреблении, не восстановленным. Корпус не должен иметь вмятин, сколов краски и следов коррозии, проводные выводы элемента запуска должны быть изолированы и не иметь изломов. Год выпуска товара — не ранее 2026 года.</w:t>
      </w:r>
    </w:p>
    <w:p w14:paraId="403BD6FF" w14:textId="77777777" w:rsidR="006461AE" w:rsidRPr="006461AE" w:rsidRDefault="006461AE" w:rsidP="006461AE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lastRenderedPageBreak/>
        <w:t>4. Требования к комплектации и сопроводительной документации</w:t>
      </w:r>
    </w:p>
    <w:p w14:paraId="52B3BC58" w14:textId="77777777" w:rsidR="006461AE" w:rsidRPr="006461AE" w:rsidRDefault="006461AE" w:rsidP="006461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Поставщик обязуется предоставить при поставке на каждую единицу Товара:</w:t>
      </w:r>
    </w:p>
    <w:p w14:paraId="544D4F4A" w14:textId="77777777" w:rsidR="006461AE" w:rsidRPr="006461AE" w:rsidRDefault="006461AE" w:rsidP="006461A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Оригинал паспорта изделия</w:t>
      </w: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(руководства по эксплуатации) от завода-изготовителя на государственном (казахском) и русском языках с отметкой ОТК и датой снаряжения.</w:t>
      </w:r>
    </w:p>
    <w:p w14:paraId="34E7A320" w14:textId="77777777" w:rsidR="006461AE" w:rsidRPr="006461AE" w:rsidRDefault="006461AE" w:rsidP="006461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Копию действующего Сертификата соответствия</w:t>
      </w: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требованиям ТР ЕАЭС 043/2017.</w:t>
      </w:r>
    </w:p>
    <w:p w14:paraId="3569C2EA" w14:textId="77777777" w:rsidR="006461AE" w:rsidRPr="006461AE" w:rsidRDefault="006461AE" w:rsidP="006461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461A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На корпусе каждого модуля должна быть нанесена четкая маркировка с указанием товарного знака производителя, даты выпуска, марки порошка и схемы подключения электрических выводов.</w:t>
      </w:r>
    </w:p>
    <w:p w14:paraId="1A76E796" w14:textId="77777777" w:rsidR="001A1C07" w:rsidRPr="008D706E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D70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Условия оплаты: 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>100% после поставки и приемки товара</w:t>
      </w:r>
    </w:p>
    <w:p w14:paraId="5E9F1811" w14:textId="77777777" w:rsidR="001A1C07" w:rsidRPr="008D706E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D70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Условия поставки: 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>DDP (Доставка)</w:t>
      </w:r>
    </w:p>
    <w:p w14:paraId="186B3552" w14:textId="787F05F2" w:rsidR="001A1C07" w:rsidRPr="008D706E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D70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Срок поставки: 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 xml:space="preserve">после подписания Договора в течение </w:t>
      </w:r>
      <w:r w:rsidR="00A2320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>0 календарных дней.</w:t>
      </w:r>
    </w:p>
    <w:sectPr w:rsidR="001A1C07" w:rsidRPr="008D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554D"/>
    <w:multiLevelType w:val="multilevel"/>
    <w:tmpl w:val="4AC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AC462F"/>
    <w:multiLevelType w:val="multilevel"/>
    <w:tmpl w:val="55A8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B50AE"/>
    <w:multiLevelType w:val="multilevel"/>
    <w:tmpl w:val="CF3A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94B51"/>
    <w:multiLevelType w:val="multilevel"/>
    <w:tmpl w:val="417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65AC3"/>
    <w:multiLevelType w:val="multilevel"/>
    <w:tmpl w:val="428C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85B59"/>
    <w:multiLevelType w:val="multilevel"/>
    <w:tmpl w:val="4818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2D1F4E"/>
    <w:multiLevelType w:val="multilevel"/>
    <w:tmpl w:val="7A2A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2560D4"/>
    <w:multiLevelType w:val="multilevel"/>
    <w:tmpl w:val="FB40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8784">
    <w:abstractNumId w:val="6"/>
  </w:num>
  <w:num w:numId="2" w16cid:durableId="2093352145">
    <w:abstractNumId w:val="1"/>
  </w:num>
  <w:num w:numId="3" w16cid:durableId="374358434">
    <w:abstractNumId w:val="5"/>
  </w:num>
  <w:num w:numId="4" w16cid:durableId="1963805945">
    <w:abstractNumId w:val="3"/>
  </w:num>
  <w:num w:numId="5" w16cid:durableId="1744718247">
    <w:abstractNumId w:val="2"/>
  </w:num>
  <w:num w:numId="6" w16cid:durableId="722022874">
    <w:abstractNumId w:val="8"/>
  </w:num>
  <w:num w:numId="7" w16cid:durableId="87779768">
    <w:abstractNumId w:val="4"/>
  </w:num>
  <w:num w:numId="8" w16cid:durableId="184294329">
    <w:abstractNumId w:val="0"/>
  </w:num>
  <w:num w:numId="9" w16cid:durableId="1067143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47"/>
    <w:rsid w:val="00145480"/>
    <w:rsid w:val="001A1C07"/>
    <w:rsid w:val="002F6EAE"/>
    <w:rsid w:val="005A3AC5"/>
    <w:rsid w:val="006461AE"/>
    <w:rsid w:val="0065444B"/>
    <w:rsid w:val="007F53E2"/>
    <w:rsid w:val="009A2C6F"/>
    <w:rsid w:val="00A23206"/>
    <w:rsid w:val="00A75BF1"/>
    <w:rsid w:val="00AB380D"/>
    <w:rsid w:val="00CD6A47"/>
    <w:rsid w:val="00D31EE7"/>
    <w:rsid w:val="00D5180A"/>
    <w:rsid w:val="00F5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2EEE"/>
  <w15:chartTrackingRefBased/>
  <w15:docId w15:val="{0FE15933-E3B8-428A-B00F-050F1D8A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C07"/>
  </w:style>
  <w:style w:type="paragraph" w:styleId="1">
    <w:name w:val="heading 1"/>
    <w:basedOn w:val="a"/>
    <w:next w:val="a"/>
    <w:link w:val="10"/>
    <w:uiPriority w:val="9"/>
    <w:qFormat/>
    <w:rsid w:val="00CD6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A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A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A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A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A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A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6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6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6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6A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6A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6A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6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6A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6A4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A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rsid w:val="00A23206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23206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 Арман Кавашевич</dc:creator>
  <cp:keywords/>
  <dc:description/>
  <cp:lastModifiedBy>Кадыров Арман Кавашевич</cp:lastModifiedBy>
  <cp:revision>8</cp:revision>
  <dcterms:created xsi:type="dcterms:W3CDTF">2026-05-22T06:14:00Z</dcterms:created>
  <dcterms:modified xsi:type="dcterms:W3CDTF">2026-06-19T11:54:00Z</dcterms:modified>
</cp:coreProperties>
</file>