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7B58" w14:textId="77777777" w:rsidR="00A23206" w:rsidRDefault="00A23206" w:rsidP="00A232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2297">
        <w:rPr>
          <w:rFonts w:ascii="Times New Roman" w:eastAsia="Times New Roman" w:hAnsi="Times New Roman"/>
          <w:sz w:val="24"/>
          <w:szCs w:val="24"/>
        </w:rPr>
        <w:t>Приложение</w:t>
      </w:r>
      <w:r w:rsidRPr="0047229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к</w:t>
      </w:r>
      <w:r w:rsidRPr="0047229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Договору № _____ от «___» ___________ 20</w:t>
      </w:r>
      <w:r>
        <w:rPr>
          <w:rFonts w:ascii="Times New Roman" w:eastAsia="Times New Roman" w:hAnsi="Times New Roman"/>
          <w:sz w:val="24"/>
          <w:szCs w:val="24"/>
        </w:rPr>
        <w:t>2__г.</w:t>
      </w:r>
    </w:p>
    <w:p w14:paraId="28649871" w14:textId="77777777" w:rsidR="00A23206" w:rsidRPr="00B820B5" w:rsidRDefault="00A23206" w:rsidP="00A23206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</w:rPr>
      </w:pPr>
    </w:p>
    <w:p w14:paraId="3638E6BE" w14:textId="77777777" w:rsidR="00A23206" w:rsidRDefault="00A23206" w:rsidP="00A23206">
      <w:pPr>
        <w:pStyle w:val="32"/>
        <w:shd w:val="clear" w:color="auto" w:fill="auto"/>
        <w:spacing w:after="0" w:line="240" w:lineRule="auto"/>
        <w:ind w:left="3580"/>
        <w:jc w:val="left"/>
        <w:rPr>
          <w:color w:val="000000"/>
          <w:sz w:val="24"/>
          <w:szCs w:val="24"/>
          <w:lang w:bidi="ru-RU"/>
        </w:rPr>
      </w:pPr>
    </w:p>
    <w:p w14:paraId="3FF8D523" w14:textId="77777777" w:rsidR="00A23206" w:rsidRDefault="00A23206" w:rsidP="00A23206">
      <w:pPr>
        <w:pStyle w:val="32"/>
        <w:shd w:val="clear" w:color="auto" w:fill="auto"/>
        <w:spacing w:after="0" w:line="240" w:lineRule="auto"/>
      </w:pPr>
      <w:r>
        <w:rPr>
          <w:color w:val="000000"/>
          <w:sz w:val="24"/>
          <w:szCs w:val="24"/>
          <w:lang w:bidi="ru-RU"/>
        </w:rPr>
        <w:t>ТЕХНИЧЕСКАЯ СПЕЦИФИКАЦИЯ</w:t>
      </w:r>
    </w:p>
    <w:p w14:paraId="4815743C" w14:textId="7C483629" w:rsidR="00A23206" w:rsidRDefault="00A23206" w:rsidP="00A23206">
      <w:pPr>
        <w:spacing w:after="0"/>
        <w:jc w:val="center"/>
        <w:rPr>
          <w:color w:val="000000"/>
          <w:sz w:val="24"/>
          <w:szCs w:val="24"/>
          <w:lang w:val="ru-RU" w:bidi="ru-RU"/>
        </w:rPr>
      </w:pPr>
      <w:r>
        <w:rPr>
          <w:color w:val="000000"/>
          <w:sz w:val="24"/>
          <w:szCs w:val="24"/>
          <w:lang w:bidi="ru-RU"/>
        </w:rPr>
        <w:t>(</w:t>
      </w:r>
      <w:r w:rsidR="005D4E36" w:rsidRPr="005D4E36">
        <w:rPr>
          <w:rFonts w:ascii="Times New Roman" w:hAnsi="Times New Roman" w:cs="Times New Roman"/>
          <w:b/>
          <w:bCs/>
          <w:sz w:val="24"/>
          <w:szCs w:val="24"/>
        </w:rPr>
        <w:t>Полотно противопожарное асбестовое (1,5*2,0) (С)</w:t>
      </w:r>
      <w:r>
        <w:rPr>
          <w:color w:val="000000"/>
          <w:sz w:val="24"/>
          <w:szCs w:val="24"/>
          <w:lang w:bidi="ru-RU"/>
        </w:rPr>
        <w:t>)</w:t>
      </w:r>
    </w:p>
    <w:p w14:paraId="67E71B98" w14:textId="77777777" w:rsidR="005D4E36" w:rsidRPr="005D4E36" w:rsidRDefault="005D4E36" w:rsidP="00A232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A18F770" w14:textId="77777777" w:rsidR="00A23206" w:rsidRPr="00917B9B" w:rsidRDefault="00A23206" w:rsidP="00A23206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2AD97521" w14:textId="77777777" w:rsidR="00A23206" w:rsidRPr="00844F2B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1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215км) </w:t>
      </w:r>
      <w:bookmarkEnd w:id="1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724988">
        <w:rPr>
          <w:rFonts w:ascii="Times New Roman" w:eastAsia="Times New Roman" w:hAnsi="Times New Roman"/>
          <w:sz w:val="24"/>
          <w:szCs w:val="24"/>
          <w:lang w:eastAsia="ru-RU"/>
        </w:rPr>
        <w:t>течение 60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36F4D20" w14:textId="77777777" w:rsidR="00A23206" w:rsidRPr="00D47F29" w:rsidRDefault="00A23206" w:rsidP="00A2320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47F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0FEEB22C" w14:textId="77777777" w:rsidR="00A23206" w:rsidRPr="002E6E98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настоящей технической спецификации.</w:t>
      </w:r>
    </w:p>
    <w:p w14:paraId="53360B0A" w14:textId="77777777" w:rsidR="00A23206" w:rsidRPr="005B0F7A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B525C4B" w14:textId="77777777" w:rsidR="00A23206" w:rsidRPr="005B0F7A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AB850A" w14:textId="77777777" w:rsidR="00A23206" w:rsidRPr="0014568E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2C1B714E" w14:textId="77777777" w:rsidR="00A23206" w:rsidRPr="005B0F7A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3D6784F" w14:textId="77777777" w:rsidR="00A23206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45D2374E" w14:textId="11995635" w:rsidR="00A23206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(не ранее 202</w:t>
      </w:r>
      <w:r w:rsidR="005D6CCA">
        <w:rPr>
          <w:rFonts w:ascii="Times New Roman" w:hAnsi="Times New Roman"/>
          <w:sz w:val="24"/>
          <w:szCs w:val="24"/>
          <w:lang w:val="ru-RU"/>
        </w:rPr>
        <w:t>6</w:t>
      </w:r>
      <w:r w:rsidRPr="000D09AF">
        <w:rPr>
          <w:rFonts w:ascii="Times New Roman" w:hAnsi="Times New Roman"/>
          <w:sz w:val="24"/>
          <w:szCs w:val="24"/>
        </w:rPr>
        <w:t xml:space="preserve"> года выпуска)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2CA0858D" w14:textId="77777777" w:rsidR="00A23206" w:rsidRDefault="00A23206" w:rsidP="00A23206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6715E3C6" w14:textId="77777777" w:rsidR="00145480" w:rsidRPr="00A23206" w:rsidRDefault="00145480" w:rsidP="001A1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08FFA" w14:textId="77777777" w:rsidR="001A1C07" w:rsidRPr="001A1C07" w:rsidRDefault="001A1C07" w:rsidP="001A1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99336A" w14:textId="77777777" w:rsidR="005D4E36" w:rsidRPr="00D44CEF" w:rsidRDefault="005D4E36" w:rsidP="005D4E36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Назначение</w:t>
      </w:r>
    </w:p>
    <w:p w14:paraId="2656320A" w14:textId="77777777" w:rsidR="005D4E36" w:rsidRPr="00D44CEF" w:rsidRDefault="005D4E36" w:rsidP="005D4E36">
      <w:pPr>
        <w:pStyle w:val="a7"/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sz w:val="24"/>
          <w:szCs w:val="24"/>
        </w:rPr>
        <w:t>Полотно предназначено для локализации и тушения небольших очагов пожаров классов:</w:t>
      </w:r>
    </w:p>
    <w:p w14:paraId="53CA7CE1" w14:textId="77777777" w:rsidR="005D4E36" w:rsidRPr="00D44CEF" w:rsidRDefault="005D4E36" w:rsidP="005D4E3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44CEF">
        <w:rPr>
          <w:rFonts w:ascii="Times New Roman" w:hAnsi="Times New Roman" w:cs="Times New Roman"/>
          <w:sz w:val="24"/>
          <w:szCs w:val="24"/>
        </w:rPr>
        <w:t xml:space="preserve"> (твердые вещества);</w:t>
      </w:r>
    </w:p>
    <w:p w14:paraId="1A259603" w14:textId="77777777" w:rsidR="005D4E36" w:rsidRPr="00D44CEF" w:rsidRDefault="005D4E36" w:rsidP="005D4E3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44CEF">
        <w:rPr>
          <w:rFonts w:ascii="Times New Roman" w:hAnsi="Times New Roman" w:cs="Times New Roman"/>
          <w:sz w:val="24"/>
          <w:szCs w:val="24"/>
        </w:rPr>
        <w:t xml:space="preserve"> (жидкие горючие вещества);</w:t>
      </w:r>
    </w:p>
    <w:p w14:paraId="2EF8B580" w14:textId="77777777" w:rsidR="005D4E36" w:rsidRDefault="005D4E36" w:rsidP="005D4E3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44CEF">
        <w:rPr>
          <w:rFonts w:ascii="Times New Roman" w:hAnsi="Times New Roman" w:cs="Times New Roman"/>
          <w:sz w:val="24"/>
          <w:szCs w:val="24"/>
        </w:rPr>
        <w:t xml:space="preserve"> (электроустановки под напряжением до 1000 В).</w:t>
      </w:r>
      <w:r w:rsidRPr="00D44CEF">
        <w:rPr>
          <w:rFonts w:ascii="Times New Roman" w:hAnsi="Times New Roman" w:cs="Times New Roman"/>
          <w:sz w:val="24"/>
          <w:szCs w:val="24"/>
        </w:rPr>
        <w:br/>
        <w:t>Используется для перекрытия доступа кислорода к зоне горения, а также для защиты ценного оборудования и конструкций от искр и теплового излучения при проведении огневых работ.</w:t>
      </w:r>
    </w:p>
    <w:p w14:paraId="067CD770" w14:textId="77777777" w:rsidR="005D4E36" w:rsidRPr="00D44CEF" w:rsidRDefault="005D4E36" w:rsidP="005D4E36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2. Основные технические параметры</w:t>
      </w:r>
    </w:p>
    <w:tbl>
      <w:tblPr>
        <w:tblStyle w:val="ac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5D4E36" w14:paraId="701E9255" w14:textId="77777777" w:rsidTr="005D4E36">
        <w:tc>
          <w:tcPr>
            <w:tcW w:w="4672" w:type="dxa"/>
            <w:vAlign w:val="center"/>
          </w:tcPr>
          <w:p w14:paraId="3D698475" w14:textId="418B5BB4" w:rsid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72" w:type="dxa"/>
            <w:vAlign w:val="center"/>
          </w:tcPr>
          <w:p w14:paraId="33E484F7" w14:textId="280586DD" w:rsid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5D4E36" w14:paraId="6CB2F914" w14:textId="77777777" w:rsidTr="005D4E36">
        <w:tc>
          <w:tcPr>
            <w:tcW w:w="4672" w:type="dxa"/>
            <w:vAlign w:val="center"/>
          </w:tcPr>
          <w:p w14:paraId="1094EFCF" w14:textId="1A49DAE4" w:rsidR="005D4E36" w:rsidRP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E36">
              <w:rPr>
                <w:rFonts w:ascii="Times New Roman" w:hAnsi="Times New Roman" w:cs="Times New Roman"/>
                <w:sz w:val="24"/>
                <w:szCs w:val="24"/>
              </w:rPr>
              <w:t>Габаритные размеры</w:t>
            </w:r>
          </w:p>
        </w:tc>
        <w:tc>
          <w:tcPr>
            <w:tcW w:w="4672" w:type="dxa"/>
            <w:vAlign w:val="center"/>
          </w:tcPr>
          <w:p w14:paraId="54075309" w14:textId="7713A299" w:rsid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EF">
              <w:rPr>
                <w:rFonts w:ascii="Times New Roman" w:hAnsi="Times New Roman" w:cs="Times New Roman"/>
                <w:sz w:val="24"/>
                <w:szCs w:val="24"/>
              </w:rPr>
              <w:t>1,5 × 2,0 метра (± 0,05 м)</w:t>
            </w:r>
          </w:p>
        </w:tc>
      </w:tr>
      <w:tr w:rsidR="005D4E36" w14:paraId="0CE7B5DD" w14:textId="77777777" w:rsidTr="005D4E36">
        <w:tc>
          <w:tcPr>
            <w:tcW w:w="4672" w:type="dxa"/>
            <w:vAlign w:val="center"/>
          </w:tcPr>
          <w:p w14:paraId="441F81F9" w14:textId="1E5F0FC8" w:rsidR="005D4E36" w:rsidRP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E36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4672" w:type="dxa"/>
            <w:vAlign w:val="center"/>
          </w:tcPr>
          <w:p w14:paraId="5C791752" w14:textId="4751D160" w:rsid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EF">
              <w:rPr>
                <w:rFonts w:ascii="Times New Roman" w:hAnsi="Times New Roman" w:cs="Times New Roman"/>
                <w:sz w:val="24"/>
                <w:szCs w:val="24"/>
              </w:rPr>
              <w:t>Ткань асбестовая (с содержанием связующих нитей)</w:t>
            </w:r>
          </w:p>
        </w:tc>
      </w:tr>
      <w:tr w:rsidR="005D4E36" w14:paraId="1F7E747C" w14:textId="77777777" w:rsidTr="005D4E36">
        <w:tc>
          <w:tcPr>
            <w:tcW w:w="4672" w:type="dxa"/>
            <w:vAlign w:val="center"/>
          </w:tcPr>
          <w:p w14:paraId="6D24D92A" w14:textId="3FED32EA" w:rsidR="005D4E36" w:rsidRP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E36">
              <w:rPr>
                <w:rFonts w:ascii="Times New Roman" w:hAnsi="Times New Roman" w:cs="Times New Roman"/>
                <w:sz w:val="24"/>
                <w:szCs w:val="24"/>
              </w:rPr>
              <w:t>Температурный режим</w:t>
            </w:r>
          </w:p>
        </w:tc>
        <w:tc>
          <w:tcPr>
            <w:tcW w:w="4672" w:type="dxa"/>
            <w:vAlign w:val="center"/>
          </w:tcPr>
          <w:p w14:paraId="5C2FCE00" w14:textId="28DA2B37" w:rsid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E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4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+450°C</w:t>
            </w:r>
            <w:r w:rsidRPr="00D44CE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D4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+500°C</w:t>
            </w:r>
          </w:p>
        </w:tc>
      </w:tr>
      <w:tr w:rsidR="005D4E36" w14:paraId="77661E8C" w14:textId="77777777" w:rsidTr="005D4E36">
        <w:tc>
          <w:tcPr>
            <w:tcW w:w="4672" w:type="dxa"/>
            <w:vAlign w:val="center"/>
          </w:tcPr>
          <w:p w14:paraId="1BDBFB3D" w14:textId="09C70AE3" w:rsidR="005D4E36" w:rsidRP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E36">
              <w:rPr>
                <w:rFonts w:ascii="Times New Roman" w:hAnsi="Times New Roman" w:cs="Times New Roman"/>
                <w:sz w:val="24"/>
                <w:szCs w:val="24"/>
              </w:rPr>
              <w:t>Толщина полотна</w:t>
            </w:r>
          </w:p>
        </w:tc>
        <w:tc>
          <w:tcPr>
            <w:tcW w:w="4672" w:type="dxa"/>
            <w:vAlign w:val="center"/>
          </w:tcPr>
          <w:p w14:paraId="357E9ED9" w14:textId="54B8A091" w:rsid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EF">
              <w:rPr>
                <w:rFonts w:ascii="Times New Roman" w:hAnsi="Times New Roman" w:cs="Times New Roman"/>
                <w:sz w:val="24"/>
                <w:szCs w:val="24"/>
              </w:rPr>
              <w:t>не менее 1,5–2,0 мм</w:t>
            </w:r>
          </w:p>
        </w:tc>
      </w:tr>
      <w:tr w:rsidR="005D4E36" w14:paraId="4317A586" w14:textId="77777777" w:rsidTr="005D4E36">
        <w:tc>
          <w:tcPr>
            <w:tcW w:w="4672" w:type="dxa"/>
            <w:vAlign w:val="center"/>
          </w:tcPr>
          <w:p w14:paraId="4060E638" w14:textId="33F94BB5" w:rsidR="005D4E36" w:rsidRP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E36">
              <w:rPr>
                <w:rFonts w:ascii="Times New Roman" w:hAnsi="Times New Roman" w:cs="Times New Roman"/>
                <w:sz w:val="24"/>
                <w:szCs w:val="24"/>
              </w:rPr>
              <w:t>Масса изделия</w:t>
            </w:r>
          </w:p>
        </w:tc>
        <w:tc>
          <w:tcPr>
            <w:tcW w:w="4672" w:type="dxa"/>
            <w:vAlign w:val="center"/>
          </w:tcPr>
          <w:p w14:paraId="11F69F8F" w14:textId="49F4AE5F" w:rsid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EF">
              <w:rPr>
                <w:rFonts w:ascii="Times New Roman" w:hAnsi="Times New Roman" w:cs="Times New Roman"/>
                <w:sz w:val="24"/>
                <w:szCs w:val="24"/>
              </w:rPr>
              <w:t>не более 3,5–4,0 кг</w:t>
            </w:r>
          </w:p>
        </w:tc>
      </w:tr>
      <w:tr w:rsidR="005D4E36" w14:paraId="38ADA883" w14:textId="77777777" w:rsidTr="005D4E36">
        <w:tc>
          <w:tcPr>
            <w:tcW w:w="4672" w:type="dxa"/>
            <w:vAlign w:val="center"/>
          </w:tcPr>
          <w:p w14:paraId="48216169" w14:textId="7DDA1CCB" w:rsidR="005D4E36" w:rsidRP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E36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4672" w:type="dxa"/>
            <w:vAlign w:val="center"/>
          </w:tcPr>
          <w:p w14:paraId="5704748B" w14:textId="4AD2483B" w:rsidR="005D4E36" w:rsidRDefault="005D4E36" w:rsidP="005D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CEF">
              <w:rPr>
                <w:rFonts w:ascii="Times New Roman" w:hAnsi="Times New Roman" w:cs="Times New Roman"/>
                <w:sz w:val="24"/>
                <w:szCs w:val="24"/>
              </w:rPr>
              <w:t>Светло-серый / Белый</w:t>
            </w:r>
          </w:p>
        </w:tc>
      </w:tr>
    </w:tbl>
    <w:p w14:paraId="3E3BB1BD" w14:textId="77777777" w:rsidR="001A1C07" w:rsidRPr="005D4E36" w:rsidRDefault="001A1C07" w:rsidP="001A1C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4A539D" w14:textId="77777777" w:rsidR="005D4E36" w:rsidRPr="00D44CEF" w:rsidRDefault="005D4E36" w:rsidP="005D4E36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3. Конструктивные особенности</w:t>
      </w:r>
    </w:p>
    <w:p w14:paraId="74767331" w14:textId="77777777" w:rsidR="005D4E36" w:rsidRPr="00D44CEF" w:rsidRDefault="005D4E36" w:rsidP="005D4E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Исполнение:</w:t>
      </w:r>
      <w:r w:rsidRPr="00D44CEF">
        <w:rPr>
          <w:rFonts w:ascii="Times New Roman" w:hAnsi="Times New Roman" w:cs="Times New Roman"/>
          <w:sz w:val="24"/>
          <w:szCs w:val="24"/>
        </w:rPr>
        <w:t xml:space="preserve"> Прямоугольный отрез асбестовой ткани с обработанными краями (подгибка) для предотвращения осыпания волокон.</w:t>
      </w:r>
    </w:p>
    <w:p w14:paraId="7F2E11BD" w14:textId="77777777" w:rsidR="005D4E36" w:rsidRPr="00D44CEF" w:rsidRDefault="005D4E36" w:rsidP="005D4E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Рукоятки:</w:t>
      </w:r>
      <w:r w:rsidRPr="00D44CEF">
        <w:rPr>
          <w:rFonts w:ascii="Times New Roman" w:hAnsi="Times New Roman" w:cs="Times New Roman"/>
          <w:sz w:val="24"/>
          <w:szCs w:val="24"/>
        </w:rPr>
        <w:t xml:space="preserve"> Полотно оснащено двумя или четырьмя пришитыми рукоятками из негорючей ленты, которые позволяют быстро извлечь его из чехла и набросить на очаг возгорания, защищая руки.</w:t>
      </w:r>
    </w:p>
    <w:p w14:paraId="256B7214" w14:textId="77777777" w:rsidR="005D4E36" w:rsidRPr="00D44CEF" w:rsidRDefault="005D4E36" w:rsidP="005D4E3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Упаковка:</w:t>
      </w:r>
      <w:r w:rsidRPr="00D44CEF">
        <w:rPr>
          <w:rFonts w:ascii="Times New Roman" w:hAnsi="Times New Roman" w:cs="Times New Roman"/>
          <w:sz w:val="24"/>
          <w:szCs w:val="24"/>
        </w:rPr>
        <w:t xml:space="preserve"> Поставляется в специальном ярко-красном чехле (сумке) с клапаном на «липучке» или кнопках, на котором нанесена инструкция по применению.</w:t>
      </w:r>
    </w:p>
    <w:p w14:paraId="26042AD4" w14:textId="77777777" w:rsidR="005D4E36" w:rsidRPr="00D44CEF" w:rsidRDefault="005D4E36" w:rsidP="005D4E36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4. Эксплуатационные характеристики</w:t>
      </w:r>
    </w:p>
    <w:p w14:paraId="08EBDE63" w14:textId="77777777" w:rsidR="005D4E36" w:rsidRPr="00D44CEF" w:rsidRDefault="005D4E36" w:rsidP="005D4E36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Электропроводность:</w:t>
      </w:r>
      <w:r w:rsidRPr="00D44CEF">
        <w:rPr>
          <w:rFonts w:ascii="Times New Roman" w:hAnsi="Times New Roman" w:cs="Times New Roman"/>
          <w:sz w:val="24"/>
          <w:szCs w:val="24"/>
        </w:rPr>
        <w:t xml:space="preserve"> Обладает диэлектрическими свойствами, что позволяет использовать его для тушения электрощитов.</w:t>
      </w:r>
    </w:p>
    <w:p w14:paraId="5BBF277F" w14:textId="77777777" w:rsidR="005D4E36" w:rsidRPr="00D44CEF" w:rsidRDefault="005D4E36" w:rsidP="005D4E36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Стойкость:</w:t>
      </w:r>
      <w:r w:rsidRPr="00D44CEF">
        <w:rPr>
          <w:rFonts w:ascii="Times New Roman" w:hAnsi="Times New Roman" w:cs="Times New Roman"/>
          <w:sz w:val="24"/>
          <w:szCs w:val="24"/>
        </w:rPr>
        <w:t xml:space="preserve"> Устойчиво к агрессивным средам и гниению.</w:t>
      </w:r>
    </w:p>
    <w:p w14:paraId="4F5B216E" w14:textId="77777777" w:rsidR="005D4E36" w:rsidRPr="00D44CEF" w:rsidRDefault="005D4E36" w:rsidP="005D4E36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Срок службы:</w:t>
      </w:r>
      <w:r w:rsidRPr="00D44CEF">
        <w:rPr>
          <w:rFonts w:ascii="Times New Roman" w:hAnsi="Times New Roman" w:cs="Times New Roman"/>
          <w:sz w:val="24"/>
          <w:szCs w:val="24"/>
        </w:rPr>
        <w:t xml:space="preserve"> Не менее 7 лет.</w:t>
      </w:r>
    </w:p>
    <w:p w14:paraId="761E612F" w14:textId="77777777" w:rsidR="005D4E36" w:rsidRPr="00D44CEF" w:rsidRDefault="005D4E36" w:rsidP="005D4E36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Многократность:</w:t>
      </w:r>
      <w:r w:rsidRPr="00D44CEF">
        <w:rPr>
          <w:rFonts w:ascii="Times New Roman" w:hAnsi="Times New Roman" w:cs="Times New Roman"/>
          <w:sz w:val="24"/>
          <w:szCs w:val="24"/>
        </w:rPr>
        <w:t xml:space="preserve"> Является изделием многоразового использования (при отсутствии сквозных прожогов и механических повреждений после применения).</w:t>
      </w:r>
    </w:p>
    <w:p w14:paraId="06833B51" w14:textId="77777777" w:rsidR="005D4E36" w:rsidRPr="00D44CEF" w:rsidRDefault="005D4E36" w:rsidP="005D4E36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D44CEF">
        <w:rPr>
          <w:rFonts w:ascii="Times New Roman" w:hAnsi="Times New Roman" w:cs="Times New Roman"/>
          <w:b/>
          <w:bCs/>
          <w:sz w:val="24"/>
          <w:szCs w:val="24"/>
        </w:rPr>
        <w:t>5. Требования безопасности</w:t>
      </w:r>
    </w:p>
    <w:p w14:paraId="738753FC" w14:textId="77777777" w:rsidR="005D4E36" w:rsidRPr="00D44CEF" w:rsidRDefault="005D4E36" w:rsidP="005D4E3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sz w:val="24"/>
          <w:szCs w:val="24"/>
        </w:rPr>
        <w:t>Асбестовое полотно при эксплуатации требует осторожного обращения из-за возможного выделения асбестовой пыли (рекомендуется хранить в чехле).</w:t>
      </w:r>
    </w:p>
    <w:p w14:paraId="29ADE847" w14:textId="77777777" w:rsidR="005D4E36" w:rsidRPr="00D44CEF" w:rsidRDefault="005D4E36" w:rsidP="005D4E3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4CEF">
        <w:rPr>
          <w:rFonts w:ascii="Times New Roman" w:hAnsi="Times New Roman" w:cs="Times New Roman"/>
          <w:sz w:val="24"/>
          <w:szCs w:val="24"/>
        </w:rPr>
        <w:t>Запрещается использовать при тушении газов (класс С) и металлов, горящих без доступа воздуха (класс D).</w:t>
      </w:r>
    </w:p>
    <w:p w14:paraId="7F3E7762" w14:textId="77777777" w:rsidR="001A1C07" w:rsidRPr="005D4E36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6E796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Условия оплаты: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100% после поставки и приемки товара</w:t>
      </w:r>
    </w:p>
    <w:p w14:paraId="5E9F1811" w14:textId="77777777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Условия поставки: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DDP (Доставка)</w:t>
      </w:r>
    </w:p>
    <w:p w14:paraId="186B3552" w14:textId="787F05F2" w:rsidR="001A1C07" w:rsidRPr="008D706E" w:rsidRDefault="001A1C07" w:rsidP="001A1C0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D70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Срок поставки: 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 xml:space="preserve">после подписания Договора в течение </w:t>
      </w:r>
      <w:r w:rsidR="00A2320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D706E">
        <w:rPr>
          <w:rFonts w:ascii="Times New Roman" w:hAnsi="Times New Roman" w:cs="Times New Roman"/>
          <w:sz w:val="24"/>
          <w:szCs w:val="24"/>
          <w:lang w:val="ru-RU"/>
        </w:rPr>
        <w:t>0 календарных дней.</w:t>
      </w:r>
    </w:p>
    <w:p w14:paraId="7FC20887" w14:textId="77777777" w:rsidR="005A3AC5" w:rsidRDefault="005A3AC5">
      <w:pPr>
        <w:rPr>
          <w:lang w:val="ru-RU"/>
        </w:rPr>
      </w:pPr>
    </w:p>
    <w:p w14:paraId="4A4750BC" w14:textId="77777777" w:rsidR="00145480" w:rsidRDefault="00145480">
      <w:pPr>
        <w:rPr>
          <w:lang w:val="ru-RU"/>
        </w:rPr>
      </w:pPr>
    </w:p>
    <w:p w14:paraId="1503199C" w14:textId="77777777" w:rsidR="00145480" w:rsidRDefault="00145480">
      <w:pPr>
        <w:rPr>
          <w:lang w:val="ru-RU"/>
        </w:rPr>
      </w:pPr>
    </w:p>
    <w:p w14:paraId="44A72A58" w14:textId="77777777" w:rsidR="00145480" w:rsidRDefault="00145480">
      <w:pPr>
        <w:rPr>
          <w:lang w:val="ru-RU"/>
        </w:rPr>
      </w:pPr>
    </w:p>
    <w:p w14:paraId="77FCB895" w14:textId="77777777" w:rsidR="00145480" w:rsidRDefault="00145480">
      <w:pPr>
        <w:rPr>
          <w:lang w:val="ru-RU"/>
        </w:rPr>
      </w:pPr>
    </w:p>
    <w:p w14:paraId="4812DA63" w14:textId="77777777" w:rsidR="00145480" w:rsidRDefault="00145480">
      <w:pPr>
        <w:rPr>
          <w:lang w:val="ru-RU"/>
        </w:rPr>
      </w:pPr>
    </w:p>
    <w:p w14:paraId="356CAA9B" w14:textId="77777777" w:rsidR="00145480" w:rsidRDefault="00145480">
      <w:pPr>
        <w:rPr>
          <w:lang w:val="ru-RU"/>
        </w:rPr>
      </w:pPr>
    </w:p>
    <w:p w14:paraId="54E21700" w14:textId="77777777" w:rsidR="00145480" w:rsidRDefault="00145480">
      <w:pPr>
        <w:rPr>
          <w:lang w:val="ru-RU"/>
        </w:rPr>
      </w:pPr>
    </w:p>
    <w:p w14:paraId="12337AC5" w14:textId="77777777" w:rsidR="00145480" w:rsidRDefault="00145480">
      <w:pPr>
        <w:rPr>
          <w:lang w:val="ru-RU"/>
        </w:rPr>
      </w:pPr>
    </w:p>
    <w:p w14:paraId="107A551C" w14:textId="77777777" w:rsidR="00145480" w:rsidRDefault="00145480">
      <w:pPr>
        <w:rPr>
          <w:lang w:val="ru-RU"/>
        </w:rPr>
      </w:pPr>
    </w:p>
    <w:p w14:paraId="21141D73" w14:textId="77777777" w:rsidR="00145480" w:rsidRDefault="00145480">
      <w:pPr>
        <w:rPr>
          <w:lang w:val="ru-RU"/>
        </w:rPr>
      </w:pPr>
    </w:p>
    <w:p w14:paraId="5D6772FB" w14:textId="77777777" w:rsidR="00145480" w:rsidRDefault="00145480">
      <w:pPr>
        <w:rPr>
          <w:lang w:val="ru-RU"/>
        </w:rPr>
      </w:pPr>
    </w:p>
    <w:p w14:paraId="249F2B08" w14:textId="77777777" w:rsidR="00145480" w:rsidRPr="00145480" w:rsidRDefault="0014548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45480" w:rsidRPr="0014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5202"/>
    <w:multiLevelType w:val="multilevel"/>
    <w:tmpl w:val="DE44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CE3F47"/>
    <w:multiLevelType w:val="multilevel"/>
    <w:tmpl w:val="8406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64284"/>
    <w:multiLevelType w:val="multilevel"/>
    <w:tmpl w:val="E45A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752AFF"/>
    <w:multiLevelType w:val="multilevel"/>
    <w:tmpl w:val="49A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8784">
    <w:abstractNumId w:val="4"/>
  </w:num>
  <w:num w:numId="2" w16cid:durableId="2093352145">
    <w:abstractNumId w:val="1"/>
  </w:num>
  <w:num w:numId="3" w16cid:durableId="246967540">
    <w:abstractNumId w:val="2"/>
  </w:num>
  <w:num w:numId="4" w16cid:durableId="2128306841">
    <w:abstractNumId w:val="3"/>
  </w:num>
  <w:num w:numId="5" w16cid:durableId="1176384228">
    <w:abstractNumId w:val="5"/>
  </w:num>
  <w:num w:numId="6" w16cid:durableId="61783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47"/>
    <w:rsid w:val="00145480"/>
    <w:rsid w:val="001A1C07"/>
    <w:rsid w:val="002F6EAE"/>
    <w:rsid w:val="005A3AC5"/>
    <w:rsid w:val="005D4E36"/>
    <w:rsid w:val="005D6CCA"/>
    <w:rsid w:val="007F53E2"/>
    <w:rsid w:val="00A23206"/>
    <w:rsid w:val="00AB380D"/>
    <w:rsid w:val="00C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2EEE"/>
  <w15:chartTrackingRefBased/>
  <w15:docId w15:val="{0FE15933-E3B8-428A-B00F-050F1D8A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07"/>
  </w:style>
  <w:style w:type="paragraph" w:styleId="1">
    <w:name w:val="heading 1"/>
    <w:basedOn w:val="a"/>
    <w:next w:val="a"/>
    <w:link w:val="10"/>
    <w:uiPriority w:val="9"/>
    <w:qFormat/>
    <w:rsid w:val="00CD6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A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A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A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A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A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A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6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6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A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6A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6A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A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6A4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A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rsid w:val="00A23206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2320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 Арман Кавашевич</dc:creator>
  <cp:keywords/>
  <dc:description/>
  <cp:lastModifiedBy>Кадыров Арман Кавашевич</cp:lastModifiedBy>
  <cp:revision>6</cp:revision>
  <dcterms:created xsi:type="dcterms:W3CDTF">2026-05-22T06:14:00Z</dcterms:created>
  <dcterms:modified xsi:type="dcterms:W3CDTF">2026-05-26T06:07:00Z</dcterms:modified>
</cp:coreProperties>
</file>