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283D" w14:textId="77777777" w:rsidR="008D2458" w:rsidRPr="00487A6C" w:rsidRDefault="008D2458" w:rsidP="008D2458">
      <w:pPr>
        <w:spacing w:after="40" w:line="256" w:lineRule="auto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ТЕХНИЧЕСКОЕ ЗАДАНИЕ</w:t>
      </w:r>
    </w:p>
    <w:p w14:paraId="124857DB" w14:textId="77777777" w:rsidR="00364EF4" w:rsidRPr="00487A6C" w:rsidRDefault="008D2458" w:rsidP="00364EF4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 xml:space="preserve">на проведение независимого аудита запасов и ресурсов углеводородов по системе </w:t>
      </w:r>
    </w:p>
    <w:p w14:paraId="62826388" w14:textId="25B0FF8C" w:rsidR="008D2458" w:rsidRPr="00487A6C" w:rsidRDefault="008D2458" w:rsidP="008D2458">
      <w:pPr>
        <w:spacing w:after="120" w:line="256" w:lineRule="auto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b/>
          <w:kern w:val="0"/>
          <w14:ligatures w14:val="none"/>
        </w:rPr>
        <w:t>PRMS</w:t>
      </w:r>
    </w:p>
    <w:p w14:paraId="3F313B2A" w14:textId="223D52CC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Услуги по подготовке отчета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PRMS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оказываются в отношении месторождени</w:t>
      </w:r>
      <w:r w:rsidR="004455E2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я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Урихтау (горизонт КТ-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4455E2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 Все объемы запасов и экономические показатели оцениваются по состоянию на 30 сентября 2026 года.</w:t>
      </w:r>
    </w:p>
    <w:p w14:paraId="5EB77D2B" w14:textId="77777777" w:rsidR="008D2458" w:rsidRPr="00487A6C" w:rsidRDefault="008D2458" w:rsidP="008D2458">
      <w:pPr>
        <w:keepNext/>
        <w:keepLines/>
        <w:spacing w:before="120" w:after="50" w:line="256" w:lineRule="auto"/>
        <w:jc w:val="both"/>
        <w:outlineLvl w:val="0"/>
        <w:rPr>
          <w:rFonts w:ascii="Calibri" w:eastAsia="MS Gothic" w:hAnsi="Calibri" w:cs="Times New Roman"/>
          <w:b/>
          <w:bCs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1. Активы</w:t>
      </w:r>
    </w:p>
    <w:p w14:paraId="4049BC54" w14:textId="7FF7BB3A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КОНСУЛЬТАНТ выполняет независимую оценку запасо</w:t>
      </w:r>
      <w:r w:rsidR="005C7329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углеводородов активов ЗАКАЗЧИКА.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 xml:space="preserve">В </w:t>
      </w:r>
      <w:proofErr w:type="spellStart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>ходе</w:t>
      </w:r>
      <w:proofErr w:type="spellEnd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>оценки</w:t>
      </w:r>
      <w:proofErr w:type="spellEnd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 xml:space="preserve"> КОНСУЛЬТАНТ </w:t>
      </w:r>
      <w:proofErr w:type="spellStart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>должен</w:t>
      </w:r>
      <w:proofErr w:type="spellEnd"/>
      <w:r w:rsidRPr="00487A6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7CAB6F5" w14:textId="72DD8234" w:rsidR="008D2458" w:rsidRPr="00487A6C" w:rsidRDefault="008D2458" w:rsidP="00CB2134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представить прогноз добычи углеводородов месторождения для категори</w:t>
      </w:r>
      <w:r w:rsidR="00235DA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доказанные</w:t>
      </w:r>
      <w:r w:rsidR="00235DA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разрабатываемые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(</w:t>
      </w:r>
      <w:r w:rsidR="00235DAC" w:rsidRPr="00487A6C">
        <w:rPr>
          <w:rFonts w:ascii="Times New Roman" w:eastAsia="Times New Roman" w:hAnsi="Times New Roman" w:cs="Times New Roman"/>
          <w:kern w:val="0"/>
          <w14:ligatures w14:val="none"/>
        </w:rPr>
        <w:t>PD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</w:t>
      </w:r>
      <w:r w:rsidR="00235DA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применив обоснованные методы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PRMS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с учетом технических и экономических параметров;</w:t>
      </w:r>
    </w:p>
    <w:p w14:paraId="66D9CA0A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своевременно анализировать достаточность геолого-промысловой информации, результаты изучения геологического строения и геологического моделирования, историю разработки и производительность активов на перспективу;</w:t>
      </w:r>
    </w:p>
    <w:p w14:paraId="4C28D732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оценить результаты бурения, ГТМ, методов повышения нефтеотдачи и интенсификации добычи и их вклад в прогнозные объемы углеводородов;</w:t>
      </w:r>
    </w:p>
    <w:p w14:paraId="55D472C7" w14:textId="476B9408" w:rsidR="008D2458" w:rsidRPr="00487A6C" w:rsidRDefault="008D2458" w:rsidP="00181426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представ</w:t>
      </w:r>
      <w:r w:rsidR="00FE46DB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леннве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запасы </w:t>
      </w:r>
      <w:r w:rsidR="00181426" w:rsidRPr="00487A6C">
        <w:rPr>
          <w:rFonts w:ascii="Times New Roman" w:eastAsia="Times New Roman" w:hAnsi="Times New Roman" w:cs="Times New Roman"/>
          <w:kern w:val="0"/>
          <w14:ligatures w14:val="none"/>
        </w:rPr>
        <w:t>PD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разделить на разрабатываемые добываемые </w:t>
      </w:r>
      <w:r w:rsidR="00C15AF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и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разрабатываемые </w:t>
      </w:r>
      <w:proofErr w:type="spellStart"/>
      <w:r w:rsidR="00C15AF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не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добываемые</w:t>
      </w:r>
      <w:proofErr w:type="spellEnd"/>
      <w:r w:rsidR="00C15AFC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(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PDP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PDNP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);</w:t>
      </w:r>
    </w:p>
    <w:p w14:paraId="1A7657FD" w14:textId="24CB287D" w:rsidR="008D2458" w:rsidRPr="00487A6C" w:rsidRDefault="00FA5561" w:rsidP="007B0C09">
      <w:pPr>
        <w:pStyle w:val="a"/>
        <w:ind w:left="567" w:hanging="283"/>
        <w:rPr>
          <w:sz w:val="24"/>
          <w:szCs w:val="24"/>
          <w:lang w:val="ru-RU"/>
        </w:rPr>
      </w:pPr>
      <w:r w:rsidRPr="00487A6C">
        <w:rPr>
          <w:sz w:val="24"/>
          <w:szCs w:val="24"/>
          <w:lang w:val="ru-RU"/>
        </w:rPr>
        <w:t>для целей бухгалтерского учета отдельно о</w:t>
      </w:r>
      <w:r w:rsidR="004F6698" w:rsidRPr="00487A6C">
        <w:rPr>
          <w:sz w:val="24"/>
          <w:szCs w:val="24"/>
          <w:lang w:val="ru-RU"/>
        </w:rPr>
        <w:t xml:space="preserve">ценить запасы </w:t>
      </w:r>
      <w:r w:rsidR="004F6698" w:rsidRPr="00487A6C">
        <w:rPr>
          <w:sz w:val="24"/>
          <w:szCs w:val="24"/>
        </w:rPr>
        <w:t>PD</w:t>
      </w:r>
      <w:r w:rsidRPr="00487A6C">
        <w:rPr>
          <w:sz w:val="24"/>
          <w:szCs w:val="24"/>
          <w:lang w:val="ru-RU"/>
        </w:rPr>
        <w:t xml:space="preserve"> по каждому месторождению, контракту (лицензии) и виду углеводородов, с учетом доли прав ЗАКАЗЧИКА</w:t>
      </w:r>
      <w:r w:rsidR="0038654C" w:rsidRPr="00487A6C">
        <w:rPr>
          <w:sz w:val="24"/>
          <w:szCs w:val="24"/>
          <w:lang w:val="ru-RU"/>
        </w:rPr>
        <w:t>;</w:t>
      </w:r>
      <w:r w:rsidR="008D2458" w:rsidRPr="00487A6C">
        <w:rPr>
          <w:sz w:val="24"/>
          <w:szCs w:val="24"/>
          <w:lang w:val="ru-RU"/>
        </w:rPr>
        <w:t xml:space="preserve"> </w:t>
      </w:r>
    </w:p>
    <w:p w14:paraId="491A5203" w14:textId="2E29FC08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по запросу ЗАКАЗЧИКА представить </w:t>
      </w:r>
      <w:r w:rsidR="00A676D0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в рабочем формате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результаты по продуктивным горизонтам, количество бурения и ГТМ, принятых в расчетах, динамику коэффициента естественного падения и обоснование темпов падения, дебитов, обводненности и дней работы;</w:t>
      </w:r>
    </w:p>
    <w:p w14:paraId="11C91369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применить предоставленные ЗАКАЗЧИКОМ макроэкономические допущения: цены на нефть и газ, инфляцию, курс тенге к доллару США,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CAPEX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OPEX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налоги и ликвидационные расходы;</w:t>
      </w:r>
    </w:p>
    <w:p w14:paraId="4549D2E1" w14:textId="22BB3218" w:rsidR="008D2458" w:rsidRPr="00487A6C" w:rsidRDefault="008D2458" w:rsidP="005000FB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учесть запасы независимо от их принятия на государственный баланс Республики Казахстан; при существенных расхождениях по запросу ЗАКАЗЧИКА представить анализ причин;</w:t>
      </w:r>
    </w:p>
    <w:p w14:paraId="3C2BE4B8" w14:textId="7BC780B1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Единицы измерения должны соответствовать международным стандартам и стандартам Республики Казахстан: нефть, конденсат и ШФЛУ – тонны и баррели; газ – кубические метры и кубические футы с указанием базовых условий пересчета.</w:t>
      </w:r>
    </w:p>
    <w:p w14:paraId="3A5AAEBD" w14:textId="798C1148" w:rsidR="008D2458" w:rsidRPr="00487A6C" w:rsidRDefault="008D2458" w:rsidP="00487A6C">
      <w:pPr>
        <w:spacing w:before="240" w:after="60" w:line="256" w:lineRule="auto"/>
        <w:jc w:val="both"/>
        <w:rPr>
          <w:rFonts w:ascii="Calibri" w:eastAsia="MS Gothic" w:hAnsi="Calibri" w:cs="Times New Roman"/>
          <w:b/>
          <w:bCs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2. Подготовка, сбор данных и сдача Отчета</w:t>
      </w:r>
    </w:p>
    <w:p w14:paraId="43EE5E4E" w14:textId="77777777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Исходные данные предоставляются КОНСУЛЬТАНТУ ЗАКАЗЧИКОМ на период оказания услуг и возвращаются по требованию ЗАКАЗЧИКА после завершения работ. ЗАКАЗЧИК организует подготовку информации по каждому месторождению.</w:t>
      </w:r>
    </w:p>
    <w:p w14:paraId="2AA4A16A" w14:textId="77777777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КОНСУЛЬТАНТ обеспечивает участие сотрудников в сборе данных и обсуждении порядка работ, согласовании предварительных результатов, представлении и защите окончательного Отчета при необходимости, а также еженедельно предоставляет отчет о ходе работ, выявленных вопросах и рисках.</w:t>
      </w:r>
    </w:p>
    <w:p w14:paraId="08D13980" w14:textId="77777777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 xml:space="preserve">Порядок выполнения работ: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проверка комплектности и качества исходных данных; формирование и согласование перечня допущений; геологическая, инженерная и экономическая оценка; сопоставление результатов с государственным балансом и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материалами ЗАКАЗЧИКА; обсуждение предварительных выводов; выпуск и защита окончательного Отчета.</w:t>
      </w:r>
    </w:p>
    <w:p w14:paraId="5D979CBE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КОНСУЛЬТАНТ ведет реестр полученных данных, допущений, выявленных ограничений и запросов на дополнительную информацию; существенные пробелы и их возможное влияние на результаты оценки отражаются в Отчете;</w:t>
      </w:r>
    </w:p>
    <w:p w14:paraId="1C651C89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расчеты выполняются детерминистическими и/или вероятностными методами, уместными для имеющейся стадии изученности, с документированием методики, исходных параметров и диапазонов неопределенности;</w:t>
      </w:r>
    </w:p>
    <w:p w14:paraId="6E0482BE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прогнозные профили добычи формируются с учетом фактической истории, планов бурения и ГТМ, ограничений инфраструктуры, сроков действия прав и согласованных технических сценариев;</w:t>
      </w:r>
    </w:p>
    <w:p w14:paraId="5175EE49" w14:textId="77777777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  <w:t xml:space="preserve">Требования к КОНСУЛЬТАНТУ: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независимость и отсутствие конфликта интересов; международное признание в качестве компетентного оценщика (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Competent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Person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/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Qualified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Reserves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Evaluator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); подтвержденный опыт сопоставимых работ по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PRMS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; наличие квалифицированных геологов,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петрофизиков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инженеров-разработчиков и экономистов.</w:t>
      </w:r>
    </w:p>
    <w:p w14:paraId="3443521E" w14:textId="77777777" w:rsidR="008D2458" w:rsidRPr="00487A6C" w:rsidRDefault="008D2458" w:rsidP="008D2458">
      <w:pPr>
        <w:keepNext/>
        <w:keepLines/>
        <w:spacing w:before="120" w:after="50" w:line="256" w:lineRule="auto"/>
        <w:jc w:val="both"/>
        <w:outlineLvl w:val="0"/>
        <w:rPr>
          <w:rFonts w:ascii="Calibri" w:eastAsia="MS Gothic" w:hAnsi="Calibri" w:cs="Times New Roman"/>
          <w:b/>
          <w:bCs/>
          <w:kern w:val="0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Отчетность</w:t>
      </w:r>
      <w:proofErr w:type="spellEnd"/>
    </w:p>
    <w:p w14:paraId="15B21C72" w14:textId="7EF03034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промежуточный отчет: предварительные о</w:t>
      </w:r>
      <w:r w:rsidR="005000FB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ценки запасов </w:t>
      </w:r>
      <w:r w:rsidR="005000FB" w:rsidRPr="00487A6C">
        <w:rPr>
          <w:rFonts w:ascii="Times New Roman" w:eastAsia="Times New Roman" w:hAnsi="Times New Roman" w:cs="Times New Roman"/>
          <w:kern w:val="0"/>
          <w14:ligatures w14:val="none"/>
        </w:rPr>
        <w:t>PD</w:t>
      </w:r>
      <w:r w:rsidR="005E6FFF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прогнозы добычи, основные допущения и вопросы для согласования;</w:t>
      </w:r>
    </w:p>
    <w:p w14:paraId="6CFA0931" w14:textId="4F4CB6FE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окончательный Отчет по состоянию на 30.09.2026 г. – не позднее 25.10.2026 г., на русском и английском языках;</w:t>
      </w:r>
    </w:p>
    <w:p w14:paraId="4F3F9D74" w14:textId="31E63BD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формат: по два печатных экземпляра каждого языкового варианта, электронные версии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PDF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презентация и защита – при необход</w:t>
      </w:r>
      <w:r w:rsidR="00471F6D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имости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</w:p>
    <w:p w14:paraId="72903534" w14:textId="63194A75" w:rsidR="00FA5561" w:rsidRPr="00487A6C" w:rsidRDefault="008D2458" w:rsidP="009345B4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в Отчете раскрываются примененная редакция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PRMS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эффективная дата, объем и ограничения проверки, источники данных, ключевые допущения, методы оценки и основания категоризации;</w:t>
      </w:r>
    </w:p>
    <w:p w14:paraId="1E238901" w14:textId="60A08403" w:rsidR="00FA5561" w:rsidRPr="00487A6C" w:rsidRDefault="00FA5561" w:rsidP="00FA5561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для целей бухгалтерского учета предоставляется отдельная таблица в Excel по каждому месторождению, контракту (лицензии) и виду углеводородов: остаток PDP, PDNP, сумма PDP + PDNP, доля прав ЗАКАЗЧИКА, первоначальный и действующий сроки контракта, объемы в пределах первоначального лицензионного периода, единицы и коэффициенты пересчета;</w:t>
      </w:r>
    </w:p>
    <w:p w14:paraId="2DAD17A7" w14:textId="6DA5CD86" w:rsidR="00FA5561" w:rsidRPr="00487A6C" w:rsidRDefault="00FA5561" w:rsidP="00FA5561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•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ab/>
        <w:t>предоставляется сверка с предыдущей оценкой запасов</w:t>
      </w:r>
      <w:r w:rsidR="00D83BC6"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;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</w:p>
    <w:p w14:paraId="48C3E63C" w14:textId="0E855F7E" w:rsidR="00FA5561" w:rsidRPr="00487A6C" w:rsidRDefault="008D2458" w:rsidP="00FA5561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 необходимости изменения Объема услуг Стороны оформляют дополнительное соглашение с указанием дополнительного или скорректированного объема работ.</w:t>
      </w:r>
    </w:p>
    <w:p w14:paraId="2101F12E" w14:textId="3C5CA21C" w:rsidR="008D2458" w:rsidRPr="00487A6C" w:rsidRDefault="008D2458" w:rsidP="00FA5561">
      <w:pPr>
        <w:spacing w:after="60" w:line="256" w:lineRule="auto"/>
        <w:jc w:val="both"/>
        <w:rPr>
          <w:rFonts w:ascii="Calibri" w:eastAsia="MS Gothic" w:hAnsi="Calibri" w:cs="Times New Roman"/>
          <w:b/>
          <w:bCs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Перечень исходных данных для оценки запасов</w:t>
      </w:r>
    </w:p>
    <w:p w14:paraId="628E2B2E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Общие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организационные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данные</w:t>
      </w:r>
      <w:proofErr w:type="spellEnd"/>
    </w:p>
    <w:p w14:paraId="031B69C4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перечень оцениваемых активов, объектов разработки, залежей и скважин; схема ответственных подразделений и контактных специалистов ЗАКАЗЧИКА;</w:t>
      </w:r>
    </w:p>
    <w:p w14:paraId="4DB546D0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предыдущие отчеты по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SPE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PRMS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иным классификациям, материалы независимых аудитов, перечень существенных изменений после последней оценки;</w:t>
      </w:r>
    </w:p>
    <w:p w14:paraId="3E6A85C3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согласованные системы координат, высотные отметки, базовые условия и коэффициенты пересчета единиц, а также правила именования объектов в передаваемых базах;</w:t>
      </w:r>
    </w:p>
    <w:p w14:paraId="179A5F69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реестр предоставляемых файлов с датами актуальности, источниками и статусом качества; сведения об обновлениях данных после эффективной даты оценки.</w:t>
      </w:r>
    </w:p>
    <w:p w14:paraId="184B0342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Геофизические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петрофизические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данные</w:t>
      </w:r>
      <w:proofErr w:type="spellEnd"/>
    </w:p>
    <w:p w14:paraId="10C8B2BA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материалы сейсморазведки при наличии; данные каротажа при бурении и заканчивания скважин, файлы ГИС по основным скважинам и сводная петрофизическая интерпретация;</w:t>
      </w:r>
    </w:p>
    <w:p w14:paraId="7E7D4270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результаты стандартных и специальных исследований керна, анализы пластовой воды и обоснование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подсчетных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параметров.</w:t>
      </w:r>
    </w:p>
    <w:p w14:paraId="266ABDB9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отчеты по обработке и интерпретации сейсмических материалов, временные и глубинные карты, скоростная модель и оценка качества привязки скважин </w:t>
      </w:r>
      <w:proofErr w:type="gram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 сейсмике</w:t>
      </w:r>
      <w:proofErr w:type="gram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;</w:t>
      </w:r>
    </w:p>
    <w:p w14:paraId="67FD1F92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исходные и интерпретированные кривые ГИС, результаты контроля качества, петрофизические модели и принятые граничные значения коллекторских свойств.</w:t>
      </w:r>
    </w:p>
    <w:p w14:paraId="74B11B2C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Геологические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данные</w:t>
      </w:r>
      <w:proofErr w:type="spellEnd"/>
    </w:p>
    <w:p w14:paraId="496C5FD8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структурные карты, карты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изопахит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эффективных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нефтегазонасыщенных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толщин, координаты,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инклинометрия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траектории скважин;</w:t>
      </w:r>
    </w:p>
    <w:p w14:paraId="5DA5BADB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геологические модели,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гриды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сведения о залежах, контактах, разломах и геологических неопределенностях.</w:t>
      </w:r>
    </w:p>
    <w:p w14:paraId="39FE5826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стратиграфические разбивки, корреляционные схемы, литолого-фациальные материалы, данные по ФЕС и насыщению, обоснование ВНК/ГНК/ГВК;</w:t>
      </w:r>
    </w:p>
    <w:p w14:paraId="6D88758E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балансы геологических запасов по объектам и категориям, отчеты по подсчету и пересчету запасов, протоколы и экспертные заключения.</w:t>
      </w:r>
    </w:p>
    <w:p w14:paraId="2712BAEE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Инженерные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промысловые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данные</w:t>
      </w:r>
      <w:proofErr w:type="spellEnd"/>
    </w:p>
    <w:p w14:paraId="1499F722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PVT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данные о пластовых флюидах, проницаемости, </w:t>
      </w:r>
      <w:proofErr w:type="spell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заканчиваниях</w:t>
      </w:r>
      <w:proofErr w:type="spell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интервалах перфорации и конструкциях скважин;</w:t>
      </w:r>
    </w:p>
    <w:p w14:paraId="71AA8F71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ежемесячная добыча нефти, газа, конденсата и </w:t>
      </w:r>
      <w:proofErr w:type="gramStart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воды</w:t>
      </w:r>
      <w:proofErr w:type="gramEnd"/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закачка по каждой скважине и объекту за весь период разработки;</w:t>
      </w:r>
    </w:p>
    <w:p w14:paraId="427F59C2" w14:textId="77777777" w:rsidR="00FA5561" w:rsidRPr="00487A6C" w:rsidRDefault="008D2458" w:rsidP="00FA5561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замеры пластового, забойного и устьевого давления, результаты испытаний пластов, опробований и гидродинамических исследований;</w:t>
      </w:r>
    </w:p>
    <w:p w14:paraId="15D2D71B" w14:textId="7F24D153" w:rsidR="008D2458" w:rsidRPr="00487A6C" w:rsidRDefault="008D2458" w:rsidP="00FA5561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история фонда, простоев, бурения, ГТМ, ПНП и интенсификации с результатами по скважинам.</w:t>
      </w:r>
    </w:p>
    <w:p w14:paraId="5492D5B6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история режимов эксплуатации, дебитов, обводненности, газового фактора и приемистости; сведения об ограничениях сбора, подготовки, транспорта и закачки;</w:t>
      </w:r>
    </w:p>
    <w:p w14:paraId="201D9C15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актуальные гидродинамические модели и материалы их адаптации при наличии, результаты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DCA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оценки КИН/КИГ и обоснование технологических коэффициентов;</w:t>
      </w:r>
    </w:p>
    <w:p w14:paraId="2AF999DD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утвержденные и перспективные программы бурения, ремонтов и ГТМ с календарными сроками, ожидаемыми эффектами, вероятностью выполнения и затратами.</w:t>
      </w:r>
    </w:p>
    <w:p w14:paraId="44906AA8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14:ligatures w14:val="none"/>
        </w:rPr>
      </w:pP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Экономические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и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правовые</w:t>
      </w:r>
      <w:proofErr w:type="spellEnd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87A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данные</w:t>
      </w:r>
      <w:proofErr w:type="spellEnd"/>
    </w:p>
    <w:p w14:paraId="735891C9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OPEX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</w:t>
      </w:r>
      <w:r w:rsidRPr="00487A6C">
        <w:rPr>
          <w:rFonts w:ascii="Times New Roman" w:eastAsia="Times New Roman" w:hAnsi="Times New Roman" w:cs="Times New Roman"/>
          <w:kern w:val="0"/>
          <w14:ligatures w14:val="none"/>
        </w:rPr>
        <w:t>CAPEX</w:t>
      </w: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стоимость бурения, заканчивания и обустройства, цены и условия реализации продукции, налоги и платежи, инфляция, курс валют, ставка дисконтирования и ликвидационные расходы;</w:t>
      </w:r>
    </w:p>
    <w:p w14:paraId="27DDB54C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действующие контракты, лицензии и соглашения, сведения о границах и сроках прав, материалы подсчета запасов и государственный баланс, проекты и планы разработки месторождений.</w:t>
      </w:r>
    </w:p>
    <w:p w14:paraId="7F80E006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финансово-экономические модели, прогнозы реализации по видам продукции, коммерческие и инфраструктурные ограничения, условия доступа к мощностям;</w:t>
      </w:r>
    </w:p>
    <w:p w14:paraId="0E1F47F5" w14:textId="77777777" w:rsidR="008D2458" w:rsidRPr="00487A6C" w:rsidRDefault="008D2458" w:rsidP="008D2458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согласованные макроэкономические сценарии и дата денежных потоков, правила эскалации затрат, применимые фискальные условия и подтверждение прав на разработку.</w:t>
      </w:r>
    </w:p>
    <w:p w14:paraId="57DE333A" w14:textId="7C0CE8C9" w:rsidR="00FA5561" w:rsidRPr="00487A6C" w:rsidRDefault="00FA5561" w:rsidP="00FA5561">
      <w:pPr>
        <w:keepLines/>
        <w:numPr>
          <w:ilvl w:val="0"/>
          <w:numId w:val="1"/>
        </w:numPr>
        <w:spacing w:after="3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учетная политика ЗАКАЗЧИКА в части амортизации производственным методом, долгосрочные плановые цены, фактическая добыча с даты предыдущей оценки и сведения, необходимые для сверки движения запасов.</w:t>
      </w:r>
    </w:p>
    <w:p w14:paraId="67B23135" w14:textId="77777777" w:rsidR="00FA5561" w:rsidRPr="00487A6C" w:rsidRDefault="00FA5561" w:rsidP="00FA5561">
      <w:pPr>
        <w:keepLines/>
        <w:spacing w:after="30"/>
        <w:ind w:left="54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61184C8E" w14:textId="77777777" w:rsidR="008D2458" w:rsidRPr="00487A6C" w:rsidRDefault="008D2458" w:rsidP="008D2458">
      <w:pPr>
        <w:keepNext/>
        <w:keepLines/>
        <w:spacing w:before="80" w:after="40" w:line="256" w:lineRule="auto"/>
        <w:jc w:val="both"/>
        <w:outlineLvl w:val="1"/>
        <w:rPr>
          <w:rFonts w:ascii="Calibri" w:eastAsia="MS Gothic" w:hAnsi="Calibri" w:cs="Times New Roman"/>
          <w:b/>
          <w:bCs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Примечание</w:t>
      </w:r>
    </w:p>
    <w:p w14:paraId="7C3DD985" w14:textId="01ABF0C1" w:rsidR="008D2458" w:rsidRPr="00487A6C" w:rsidRDefault="008D2458" w:rsidP="008D2458">
      <w:pPr>
        <w:spacing w:after="60" w:line="256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Ключевые скважины определяются специалистами КОНСУЛЬТАНТА и ЗАКАЗЧИКА. Перечень не является исчерпывающим и может уточняться по результатам предварительного анализа исходных данных.</w:t>
      </w:r>
    </w:p>
    <w:p w14:paraId="50B3437B" w14:textId="77777777" w:rsidR="007C15A6" w:rsidRPr="00487A6C" w:rsidRDefault="007C15A6" w:rsidP="007C15A6">
      <w:pPr>
        <w:pStyle w:val="Default"/>
      </w:pPr>
    </w:p>
    <w:p w14:paraId="0830AF69" w14:textId="40111BA0" w:rsidR="007C15A6" w:rsidRPr="00487A6C" w:rsidRDefault="007C15A6" w:rsidP="007C15A6">
      <w:pPr>
        <w:keepNext/>
        <w:keepLines/>
        <w:spacing w:before="120" w:after="50" w:line="25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4. Срок выполнения Работ.</w:t>
      </w:r>
    </w:p>
    <w:p w14:paraId="750FCD03" w14:textId="0DEC65E6" w:rsidR="007C15A6" w:rsidRPr="00487A6C" w:rsidRDefault="007C15A6" w:rsidP="00364EF4">
      <w:pPr>
        <w:spacing w:after="60" w:line="256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87A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Общий срок выполнения Работ: с даты подписания Договора обеими Сторонами по 25 октября 2026 г.</w:t>
      </w:r>
    </w:p>
    <w:p w14:paraId="71FF2B52" w14:textId="77777777" w:rsidR="007C15A6" w:rsidRPr="00487A6C" w:rsidRDefault="007C15A6">
      <w:pPr>
        <w:rPr>
          <w:lang w:val="ru-RU"/>
        </w:rPr>
      </w:pPr>
    </w:p>
    <w:p w14:paraId="202E810D" w14:textId="3C9AFD03" w:rsidR="001750A9" w:rsidRPr="00487A6C" w:rsidRDefault="001750A9" w:rsidP="001750A9">
      <w:pPr>
        <w:tabs>
          <w:tab w:val="left" w:pos="2985"/>
        </w:tabs>
        <w:rPr>
          <w:lang w:val="ru-RU"/>
        </w:rPr>
      </w:pPr>
      <w:r w:rsidRPr="00487A6C">
        <w:rPr>
          <w:lang w:val="ru-RU"/>
        </w:rPr>
        <w:tab/>
      </w:r>
    </w:p>
    <w:tbl>
      <w:tblPr>
        <w:tblStyle w:val="41"/>
        <w:tblW w:w="94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7"/>
      </w:tblGrid>
      <w:tr w:rsidR="001750A9" w:rsidRPr="00487A6C" w14:paraId="04AEB4C1" w14:textId="77777777" w:rsidTr="00487A6C">
        <w:trPr>
          <w:trHeight w:val="2563"/>
          <w:jc w:val="center"/>
        </w:trPr>
        <w:tc>
          <w:tcPr>
            <w:tcW w:w="4820" w:type="dxa"/>
          </w:tcPr>
          <w:p w14:paraId="0914D07D" w14:textId="77777777" w:rsidR="001750A9" w:rsidRPr="00487A6C" w:rsidRDefault="001750A9" w:rsidP="001750A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7E8EFE6F" w14:textId="77777777" w:rsidR="001750A9" w:rsidRPr="00487A6C" w:rsidRDefault="001750A9" w:rsidP="001750A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4AFEC8C3" w14:textId="77777777" w:rsidR="001750A9" w:rsidRPr="00487A6C" w:rsidRDefault="001750A9" w:rsidP="00175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B68ACD2" w14:textId="77777777" w:rsidR="001750A9" w:rsidRPr="00487A6C" w:rsidRDefault="001750A9" w:rsidP="001750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Главный геолог</w:t>
            </w:r>
          </w:p>
          <w:p w14:paraId="39D10FB8" w14:textId="0CE4B25B" w:rsidR="001750A9" w:rsidRPr="00487A6C" w:rsidRDefault="001750A9" w:rsidP="001750A9">
            <w:pPr>
              <w:tabs>
                <w:tab w:val="left" w:pos="183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14:paraId="2454DB7D" w14:textId="77777777" w:rsidR="001750A9" w:rsidRPr="00487A6C" w:rsidRDefault="001750A9" w:rsidP="001750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 Рахымберди Р.</w:t>
            </w:r>
          </w:p>
        </w:tc>
        <w:tc>
          <w:tcPr>
            <w:tcW w:w="4677" w:type="dxa"/>
          </w:tcPr>
          <w:p w14:paraId="6675157C" w14:textId="77777777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Исполнитель</w:t>
            </w:r>
            <w:r w:rsidRPr="00487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3321C6AA" w14:textId="77777777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5C6EB41" w14:textId="77777777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ADFB8E4" w14:textId="77777777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791DC8B" w14:textId="77777777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8FFB424" w14:textId="4ABD3472" w:rsidR="001750A9" w:rsidRPr="00487A6C" w:rsidRDefault="001750A9" w:rsidP="001750A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87A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______________</w:t>
            </w:r>
          </w:p>
        </w:tc>
      </w:tr>
    </w:tbl>
    <w:p w14:paraId="76467C20" w14:textId="77777777" w:rsidR="001750A9" w:rsidRPr="008D2458" w:rsidRDefault="001750A9">
      <w:pPr>
        <w:rPr>
          <w:lang w:val="ru-RU"/>
        </w:rPr>
      </w:pPr>
    </w:p>
    <w:sectPr w:rsidR="001750A9" w:rsidRPr="008D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91BB9"/>
    <w:multiLevelType w:val="singleLevel"/>
    <w:tmpl w:val="8EB2EFB0"/>
    <w:lvl w:ilvl="0">
      <w:start w:val="1"/>
      <w:numFmt w:val="bullet"/>
      <w:pStyle w:val="a"/>
      <w:lvlText w:val="•"/>
      <w:lvlJc w:val="left"/>
      <w:pPr>
        <w:tabs>
          <w:tab w:val="num" w:pos="540"/>
        </w:tabs>
        <w:spacing w:line="252" w:lineRule="auto"/>
        <w:ind w:left="540" w:hanging="270"/>
      </w:pPr>
      <w:rPr>
        <w:rFonts w:ascii="Times New Roman" w:hAnsi="Times New Roman"/>
      </w:rPr>
    </w:lvl>
  </w:abstractNum>
  <w:num w:numId="1" w16cid:durableId="152347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3D"/>
    <w:rsid w:val="00037B9E"/>
    <w:rsid w:val="00062D92"/>
    <w:rsid w:val="001750A9"/>
    <w:rsid w:val="00181426"/>
    <w:rsid w:val="00235DAC"/>
    <w:rsid w:val="0025691D"/>
    <w:rsid w:val="00364EF4"/>
    <w:rsid w:val="00381D4A"/>
    <w:rsid w:val="0038654C"/>
    <w:rsid w:val="00394AA5"/>
    <w:rsid w:val="003C2881"/>
    <w:rsid w:val="0044064B"/>
    <w:rsid w:val="004455E2"/>
    <w:rsid w:val="00471F6D"/>
    <w:rsid w:val="00487A6C"/>
    <w:rsid w:val="004F234E"/>
    <w:rsid w:val="004F6698"/>
    <w:rsid w:val="005000FB"/>
    <w:rsid w:val="005C7329"/>
    <w:rsid w:val="005E6FFF"/>
    <w:rsid w:val="005F7380"/>
    <w:rsid w:val="006468AC"/>
    <w:rsid w:val="0066049A"/>
    <w:rsid w:val="00730DFF"/>
    <w:rsid w:val="007B0C09"/>
    <w:rsid w:val="007C15A6"/>
    <w:rsid w:val="008D2458"/>
    <w:rsid w:val="009316F2"/>
    <w:rsid w:val="009345B4"/>
    <w:rsid w:val="00A676D0"/>
    <w:rsid w:val="00C15AFC"/>
    <w:rsid w:val="00C86D02"/>
    <w:rsid w:val="00CA193D"/>
    <w:rsid w:val="00CB2134"/>
    <w:rsid w:val="00D60A29"/>
    <w:rsid w:val="00D83BC6"/>
    <w:rsid w:val="00DA0799"/>
    <w:rsid w:val="00E155D6"/>
    <w:rsid w:val="00F21086"/>
    <w:rsid w:val="00FA2ED4"/>
    <w:rsid w:val="00FA5561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F8A3"/>
  <w15:chartTrackingRefBased/>
  <w15:docId w15:val="{F82D09D2-138C-4BBA-A893-D81AB674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A1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A1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A1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A1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A1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A1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A1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A1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A1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1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CA1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CA1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A19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CA19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A19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CA19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CA19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CA193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CA1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CA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CA1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CA1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CA1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CA193D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CA193D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CA193D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CA1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CA193D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CA193D"/>
    <w:rPr>
      <w:b/>
      <w:bCs/>
      <w:smallCaps/>
      <w:color w:val="0F4761" w:themeColor="accent1" w:themeShade="BF"/>
      <w:spacing w:val="5"/>
    </w:rPr>
  </w:style>
  <w:style w:type="paragraph" w:styleId="a">
    <w:name w:val="List Bullet"/>
    <w:basedOn w:val="a0"/>
    <w:uiPriority w:val="99"/>
    <w:unhideWhenUsed/>
    <w:rsid w:val="008D2458"/>
    <w:pPr>
      <w:numPr>
        <w:numId w:val="1"/>
      </w:numPr>
      <w:tabs>
        <w:tab w:val="clear" w:pos="540"/>
      </w:tabs>
      <w:spacing w:after="60" w:line="256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ompactBullet">
    <w:name w:val="Compact Bullet"/>
    <w:basedOn w:val="ad"/>
    <w:rsid w:val="00FA5561"/>
    <w:pPr>
      <w:spacing w:after="40" w:line="259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ad">
    <w:name w:val="Body Text"/>
    <w:basedOn w:val="a0"/>
    <w:link w:val="ae"/>
    <w:uiPriority w:val="99"/>
    <w:semiHidden/>
    <w:unhideWhenUsed/>
    <w:rsid w:val="00FA5561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FA5561"/>
  </w:style>
  <w:style w:type="paragraph" w:customStyle="1" w:styleId="Default">
    <w:name w:val="Default"/>
    <w:rsid w:val="007C15A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lang w:val="ru-RU"/>
    </w:rPr>
  </w:style>
  <w:style w:type="table" w:customStyle="1" w:styleId="41">
    <w:name w:val="Сетка таблицы4"/>
    <w:basedOn w:val="a2"/>
    <w:next w:val="af"/>
    <w:uiPriority w:val="59"/>
    <w:rsid w:val="001750A9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17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Макешев Нуртурган Тулегенович</dc:creator>
  <cp:keywords/>
  <dc:description/>
  <cp:lastModifiedBy>Амирова Айдана Габиткызы</cp:lastModifiedBy>
  <cp:revision>31</cp:revision>
  <dcterms:created xsi:type="dcterms:W3CDTF">2026-09-11T07:54:00Z</dcterms:created>
  <dcterms:modified xsi:type="dcterms:W3CDTF">2026-09-11T12:33:00Z</dcterms:modified>
</cp:coreProperties>
</file>